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7F8" w:rsidRDefault="00D72C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Identification of the promoter</w:t>
      </w:r>
    </w:p>
    <w:tbl>
      <w:tblPr>
        <w:tblStyle w:val="a5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969"/>
        <w:gridCol w:w="4621"/>
      </w:tblGrid>
      <w:tr w:rsidR="00F567F8">
        <w:tc>
          <w:tcPr>
            <w:tcW w:w="9242" w:type="dxa"/>
            <w:gridSpan w:val="3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Organisation</w:t>
            </w:r>
            <w:proofErr w:type="spellEnd"/>
          </w:p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PIC 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916081581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Promoter's legal name (national language)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Закарпатське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Медіа</w:t>
            </w:r>
            <w:proofErr w:type="spellEnd"/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Promoter's legal name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characters)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Transcarpathian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Free Media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Acronym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TFM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Legal address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Tolstoho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street, house 17 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Postal code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89600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Mukacheve</w:t>
            </w:r>
            <w:proofErr w:type="spellEnd"/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Ukraine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</w:rPr>
              <w:t>Zakarpattia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Oblast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 site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http://tfm.org.ua/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tfreemedia@gmail.com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Telephone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+380508845848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4621" w:type="dxa"/>
            <w:shd w:val="clear" w:color="auto" w:fill="FFFFFF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67F8">
        <w:tc>
          <w:tcPr>
            <w:tcW w:w="9242" w:type="dxa"/>
            <w:gridSpan w:val="3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legally commit the promoter (legal representative)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Family name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Garagonych</w:t>
            </w:r>
            <w:proofErr w:type="spellEnd"/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Head of organization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ivan.garagonych@gmail.com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Telephone</w:t>
            </w:r>
          </w:p>
        </w:tc>
        <w:tc>
          <w:tcPr>
            <w:tcW w:w="4621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+380508845848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F567F8">
        <w:tc>
          <w:tcPr>
            <w:tcW w:w="4621" w:type="dxa"/>
            <w:gridSpan w:val="2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4621" w:type="dxa"/>
            <w:shd w:val="clear" w:color="auto" w:fill="FFFFFF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67F8">
        <w:tc>
          <w:tcPr>
            <w:tcW w:w="9242" w:type="dxa"/>
            <w:gridSpan w:val="3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Person responsible for the implementation of the action (contact person)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Ms.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Family name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Muradian</w:t>
            </w:r>
            <w:proofErr w:type="spellEnd"/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Tina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Head of international department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lastivka1994@gmail.com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Telephone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+380631203927</w:t>
            </w:r>
          </w:p>
        </w:tc>
      </w:tr>
      <w:tr w:rsidR="00F567F8">
        <w:tc>
          <w:tcPr>
            <w:tcW w:w="3652" w:type="dxa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67F8">
        <w:tc>
          <w:tcPr>
            <w:tcW w:w="9242" w:type="dxa"/>
            <w:gridSpan w:val="3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Profile of the Promoter</w:t>
            </w:r>
          </w:p>
        </w:tc>
      </w:tr>
      <w:tr w:rsidR="00F567F8">
        <w:tc>
          <w:tcPr>
            <w:tcW w:w="3652" w:type="dxa"/>
            <w:vMerge w:val="restart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☐Private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☒ Public</w:t>
            </w:r>
          </w:p>
        </w:tc>
      </w:tr>
      <w:tr w:rsidR="00F567F8">
        <w:tc>
          <w:tcPr>
            <w:tcW w:w="3652" w:type="dxa"/>
            <w:vMerge w:val="restart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☒Non-profit / Non-governmental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(NFP-NGO)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Body active at European level in the youth field (NFP-ENGYO)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Informal group of young people (NFP-IGYP)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Public body (PUB)</w:t>
            </w:r>
          </w:p>
        </w:tc>
      </w:tr>
      <w:tr w:rsidR="00F567F8">
        <w:tc>
          <w:tcPr>
            <w:tcW w:w="3652" w:type="dxa"/>
            <w:vMerge w:val="restart"/>
            <w:shd w:val="clear" w:color="auto" w:fill="D0E0E3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 level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Local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☐Regional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☒ National</w:t>
            </w:r>
          </w:p>
        </w:tc>
      </w:tr>
      <w:tr w:rsidR="00F567F8"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European</w:t>
            </w:r>
          </w:p>
        </w:tc>
      </w:tr>
      <w:tr w:rsidR="00F567F8">
        <w:trPr>
          <w:trHeight w:val="320"/>
        </w:trPr>
        <w:tc>
          <w:tcPr>
            <w:tcW w:w="3652" w:type="dxa"/>
            <w:vMerge/>
            <w:shd w:val="clear" w:color="auto" w:fill="D0E0E3"/>
          </w:tcPr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0" w:type="dxa"/>
            <w:gridSpan w:val="2"/>
            <w:tcBorders>
              <w:top w:val="nil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International</w:t>
            </w:r>
          </w:p>
        </w:tc>
      </w:tr>
    </w:tbl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6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67F8">
        <w:tc>
          <w:tcPr>
            <w:tcW w:w="9242" w:type="dxa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Background and Experience</w:t>
            </w:r>
          </w:p>
        </w:tc>
      </w:tr>
      <w:tr w:rsidR="00F567F8">
        <w:trPr>
          <w:trHeight w:val="680"/>
        </w:trPr>
        <w:tc>
          <w:tcPr>
            <w:tcW w:w="9242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Transсarpathian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Free Media” (TFM) was officially registered on June,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22  2016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However, the founding fathers of the NGO have been working together since 2010, when they founded an Internet resource “Panorama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Mukacheva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which soon was rebranded into “PMG.u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a” (Panorama Media Group). This web-resource still remains the project of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Transсarpathian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Free Media”. The majority of our members are professional journalists, eager to share their experience with others.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Apart from that, our members take active part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various seminars, workshops and youth exchanges in terms of Erasmus+, Council of Europe, UN, OSCE etc. 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TFM is a sustainable and impactful organization in Ukraine which unites progressive youth who has critical thinking, takes active part in building the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ivil society and state.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main spheres of our interests are: media education, human rights, active citizenship, democracy, intercultural dialogue, healthy lifestyle.</w:t>
            </w:r>
          </w:p>
        </w:tc>
      </w:tr>
    </w:tbl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67F8">
        <w:tc>
          <w:tcPr>
            <w:tcW w:w="9242" w:type="dxa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are the activities and experience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the areas relevant for this application?</w:t>
            </w:r>
          </w:p>
        </w:tc>
      </w:tr>
      <w:tr w:rsidR="00F567F8">
        <w:trPr>
          <w:trHeight w:val="480"/>
        </w:trPr>
        <w:tc>
          <w:tcPr>
            <w:tcW w:w="9242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 and activities that were carried out since the foundation of NGO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22-06-2016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Transсarpathian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Free Media” is a young, but ambitious Ukrainian NGO which has managed to implement many educational projects and received several mini grants. 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have participated as a receiving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program of National Exchanges supported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EU and National Endowment for Democracy. 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cooperation with NGO “Youth Initiative of Cities” we have implemented a successful project “Live Dialogue from East to West” aimed at destroying the stereotypes between the youth from eastern and western Ukr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aine with the support of National Endowment for Democracy (NED).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implemented a project supported by IREX. In terms of this initiative, we held 8 meetings for youth, students and local authorities. The topics covered are: police system reforms, myths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stereotypes, community police. All these lectures were held in the framework of “School of young journalist” project.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TFM members have taken part in regional seminar for Ukrainian young leaders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Ukraine. The topic was the development of local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regional democracy in framework of project “Promoting local democracy in Ukraine”.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also coordinate an annual bike ride festival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Munkács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Ride” in order to encourage healthy lifestyle in our region.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the help of British Council TFM has been equipping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Transcarpathian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region with bike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terms of our cooperation with IREX we have also conducted a regional football tournament between journalists and policemen in our region.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are the partn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the Erasmus + training course “Young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changemakers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tomorrow” in Portugal.</w:t>
            </w:r>
          </w:p>
          <w:p w:rsidR="00F567F8" w:rsidRDefault="00D72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Apart from that, we have successfully carried out two projects in terms of the program “Active citizenship” by British Council.</w:t>
            </w:r>
          </w:p>
        </w:tc>
      </w:tr>
    </w:tbl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67F8">
        <w:tc>
          <w:tcPr>
            <w:tcW w:w="9242" w:type="dxa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are the skills and expertise of key staff/persons involved in this application?</w:t>
            </w:r>
          </w:p>
        </w:tc>
      </w:tr>
      <w:tr w:rsidR="00F567F8">
        <w:trPr>
          <w:trHeight w:val="740"/>
        </w:trPr>
        <w:tc>
          <w:tcPr>
            <w:tcW w:w="9242" w:type="dxa"/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TFM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have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previous experiences in Erasmus Plus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other local and international projects. 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Experiences and our responsibilities relevant for the project 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plication: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-Cooperation with media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Project management 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Selection of participants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Planning and implementation of the preparation activities (before the departure)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Management of administrative procedures and all technical and organizational aspects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Management of the flows of participants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Management of the relationship with foreign partners and with participants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Planning and implementation of monitoring and evaluation activities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Planning and implementation of the follow up activities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Moreover,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Mr. 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Garagonych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 head of NGO proved to be high qualified person and project implementer. He takes active part in local and international projects. </w:t>
            </w:r>
          </w:p>
        </w:tc>
      </w:tr>
    </w:tbl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850"/>
        <w:gridCol w:w="3544"/>
        <w:gridCol w:w="3740"/>
      </w:tblGrid>
      <w:tr w:rsidR="00F567F8">
        <w:tc>
          <w:tcPr>
            <w:tcW w:w="9242" w:type="dxa"/>
            <w:gridSpan w:val="4"/>
            <w:shd w:val="clear" w:color="auto" w:fill="A2C4C9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Erasmus+ projects</w:t>
            </w:r>
          </w:p>
        </w:tc>
      </w:tr>
      <w:tr w:rsidR="00F567F8">
        <w:trPr>
          <w:trHeight w:val="200"/>
        </w:trPr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Project Identification or Contract Number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Applicant/Beneficiary Name</w:t>
            </w:r>
          </w:p>
        </w:tc>
      </w:tr>
      <w:tr w:rsidR="00F567F8">
        <w:trPr>
          <w:trHeight w:val="340"/>
        </w:trPr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Young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Changemakers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of Tomorrow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br/>
              <w:t>National Project ID: 510993419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Educativa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Nacional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Inclusão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Inovação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Escolas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- AENIE </w:t>
            </w:r>
          </w:p>
        </w:tc>
      </w:tr>
      <w:tr w:rsidR="00F567F8" w:rsidTr="00953655">
        <w:trPr>
          <w:trHeight w:val="240"/>
        </w:trPr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Tackling Racism and Radicalization</w:t>
            </w:r>
          </w:p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2017-3-SE02-KA105-002005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7F8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Hello Youth </w:t>
            </w:r>
          </w:p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7F8" w:rsidRDefault="00F5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655">
        <w:trPr>
          <w:trHeight w:val="240"/>
        </w:trPr>
        <w:tc>
          <w:tcPr>
            <w:tcW w:w="11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53655" w:rsidRDefault="0095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3655" w:rsidRDefault="0095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3655" w:rsidRDefault="0095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Create your reality</w:t>
            </w:r>
          </w:p>
          <w:p w:rsidR="00D72CA6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D72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2018-1-PT02-KA105-004962</w:t>
            </w:r>
            <w:bookmarkStart w:id="1" w:name="_GoBack"/>
            <w:bookmarkEnd w:id="1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3655" w:rsidRPr="00D72CA6" w:rsidRDefault="00D7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Teatro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Metaphora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Associação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de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Amigos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das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Artes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Non-governmental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Organisation</w:t>
            </w:r>
            <w:proofErr w:type="spellEnd"/>
            <w:r w:rsidRPr="00D7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</w:tc>
      </w:tr>
    </w:tbl>
    <w:p w:rsidR="00F567F8" w:rsidRDefault="00F567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7F8" w:rsidRDefault="00F56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567F8">
      <w:pgSz w:w="11906" w:h="16838"/>
      <w:pgMar w:top="720" w:right="720" w:bottom="720" w:left="72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F8B"/>
    <w:multiLevelType w:val="multilevel"/>
    <w:tmpl w:val="8EFE5386"/>
    <w:lvl w:ilvl="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67F8"/>
    <w:rsid w:val="00953655"/>
    <w:rsid w:val="00D72CA6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2019-01-26T10:57:00Z</dcterms:created>
  <dcterms:modified xsi:type="dcterms:W3CDTF">2019-01-26T11:10:00Z</dcterms:modified>
</cp:coreProperties>
</file>