
<file path=[Content_Types].xml><?xml version="1.0" encoding="utf-8"?>
<Types xmlns="http://schemas.openxmlformats.org/package/2006/content-types">
  <Default Extension="xml" ContentType="application/xml"/>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z w:val="144"/>
          <w:lang w:val="en-US"/>
        </w:rPr>
      </w:pPr>
      <w:bookmarkStart w:id="1" w:name="_GoBack"/>
      <w:r>
        <w:drawing>
          <wp:anchor distT="0" distB="0" distL="114300" distR="114300" simplePos="0" relativeHeight="1024" behindDoc="1" locked="0" layoutInCell="1" allowOverlap="1">
            <wp:simplePos x="0" y="0"/>
            <wp:positionH relativeFrom="column">
              <wp:posOffset>1283970</wp:posOffset>
            </wp:positionH>
            <wp:positionV relativeFrom="paragraph">
              <wp:posOffset>1399540</wp:posOffset>
            </wp:positionV>
            <wp:extent cx="3709035" cy="5638165"/>
            <wp:effectExtent l="0" t="0" r="5715" b="635"/>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a:picLocks noChangeAspect="1" noChangeArrowheads="1"/>
                    </pic:cNvPicPr>
                  </pic:nvPicPr>
                  <pic:blipFill>
                    <a:blip r:embed="rId5"/>
                    <a:stretch>
                      <a:fillRect/>
                    </a:stretch>
                  </pic:blipFill>
                  <pic:spPr>
                    <a:xfrm>
                      <a:off x="0" y="0"/>
                      <a:ext cx="3709035" cy="5638165"/>
                    </a:xfrm>
                    <a:prstGeom prst="rect">
                      <a:avLst/>
                    </a:prstGeom>
                    <a:noFill/>
                    <a:ln w="9525">
                      <a:noFill/>
                      <a:miter lim="800000"/>
                      <a:headEnd/>
                      <a:tailEnd/>
                    </a:ln>
                  </pic:spPr>
                </pic:pic>
              </a:graphicData>
            </a:graphic>
          </wp:anchor>
        </w:drawing>
      </w:r>
      <w:bookmarkEnd w:id="1"/>
      <w:r>
        <w:rPr>
          <w:b/>
          <w:sz w:val="144"/>
          <w:lang w:val="en-US"/>
        </w:rPr>
        <w:t>S</w:t>
      </w:r>
      <w:r>
        <w:rPr>
          <w:b/>
          <w:sz w:val="144"/>
          <w:lang w:val="it-IT"/>
        </w:rPr>
        <w:t>T</w:t>
      </w:r>
      <w:r>
        <w:rPr>
          <w:b/>
          <w:sz w:val="144"/>
          <w:lang w:val="en-US"/>
        </w:rPr>
        <w:t>ATUTE</w:t>
      </w:r>
    </w:p>
    <w:p>
      <w:pPr>
        <w:jc w:val="center"/>
        <w:rPr>
          <w:b/>
          <w:sz w:val="144"/>
          <w:lang w:val="en-US"/>
        </w:rPr>
      </w:pPr>
    </w:p>
    <w:p>
      <w:pPr>
        <w:jc w:val="center"/>
        <w:rPr>
          <w:b/>
          <w:sz w:val="144"/>
          <w:lang w:val="en-US"/>
        </w:rPr>
      </w:pPr>
    </w:p>
    <w:p>
      <w:pPr>
        <w:jc w:val="center"/>
        <w:rPr>
          <w:b/>
          <w:sz w:val="144"/>
          <w:lang w:val="en-US"/>
        </w:rPr>
      </w:pPr>
    </w:p>
    <w:p>
      <w:pPr>
        <w:jc w:val="center"/>
        <w:rPr>
          <w:b/>
          <w:sz w:val="144"/>
          <w:lang w:val="en-US"/>
        </w:rPr>
      </w:pPr>
    </w:p>
    <w:p>
      <w:pPr>
        <w:jc w:val="center"/>
        <w:rPr>
          <w:b/>
          <w:sz w:val="144"/>
          <w:szCs w:val="144"/>
          <w:lang w:val="en-US"/>
        </w:rPr>
      </w:pPr>
      <w:r>
        <w:rPr>
          <w:b/>
          <w:sz w:val="144"/>
          <w:szCs w:val="144"/>
          <w:lang w:val="en-US"/>
        </w:rPr>
        <w:t>I.P.A.</w:t>
      </w:r>
    </w:p>
    <w:p>
      <w:pPr>
        <w:jc w:val="center"/>
        <w:rPr>
          <w:b/>
          <w:color w:val="auto"/>
          <w:lang w:val="en-US"/>
        </w:rPr>
      </w:pPr>
    </w:p>
    <w:p>
      <w:pPr>
        <w:jc w:val="center"/>
        <w:rPr>
          <w:b/>
          <w:color w:val="auto"/>
          <w:lang w:val="en-US"/>
        </w:rPr>
      </w:pPr>
    </w:p>
    <w:p>
      <w:pPr>
        <w:jc w:val="center"/>
        <w:rPr>
          <w:b/>
          <w:color w:val="auto"/>
          <w:lang w:val="en-US"/>
        </w:rPr>
      </w:pPr>
    </w:p>
    <w:p>
      <w:pPr>
        <w:jc w:val="center"/>
        <w:rPr>
          <w:b/>
          <w:color w:val="auto"/>
          <w:lang w:val="en-US"/>
        </w:rPr>
      </w:pPr>
    </w:p>
    <w:p>
      <w:pPr>
        <w:jc w:val="center"/>
        <w:rPr>
          <w:b/>
          <w:color w:val="auto"/>
          <w:lang w:val="en-US"/>
        </w:rPr>
      </w:pPr>
    </w:p>
    <w:p>
      <w:pPr>
        <w:jc w:val="center"/>
        <w:rPr>
          <w:b/>
          <w:color w:val="auto"/>
          <w:lang w:val="en-US"/>
        </w:rPr>
      </w:pPr>
      <w:r>
        <w:rPr>
          <w:b/>
          <w:color w:val="auto"/>
          <w:lang w:val="en-US"/>
        </w:rPr>
        <w:t>ART. 1 (Name and headquarters)</w:t>
      </w:r>
    </w:p>
    <w:p>
      <w:pPr>
        <w:rPr>
          <w:color w:val="auto"/>
        </w:rPr>
      </w:pPr>
      <w:r>
        <w:rPr>
          <w:color w:val="auto"/>
          <w:lang w:val="en-US"/>
        </w:rPr>
        <w:t xml:space="preserve">A non political,non partisan and non sectarian voluntary association is established ,called “IPA Association” (Io per l'Altro )  with the acronim of IPA.The volunteer organization called "IPA Association" (Io Per l’Altro) takes the legal form of association nonpartisan and nonsectarian. </w:t>
      </w:r>
    </w:p>
    <w:p>
      <w:pPr>
        <w:rPr>
          <w:color w:val="auto"/>
          <w:lang w:val="en-US"/>
        </w:rPr>
      </w:pPr>
      <w:r>
        <w:rPr>
          <w:color w:val="auto"/>
          <w:lang w:val="en-US"/>
        </w:rPr>
        <w:t>The association has its registered office at Via Federico Paolini 55 in the municipality of Rome.</w:t>
      </w:r>
    </w:p>
    <w:p>
      <w:pPr>
        <w:rPr>
          <w:color w:val="auto"/>
        </w:rPr>
      </w:pPr>
      <w:r>
        <w:rPr>
          <w:color w:val="auto"/>
          <w:lang w:val="en-US"/>
        </w:rPr>
        <w:t xml:space="preserve"> The transfer of the registered office does not need change in the articles, but only the obligation to report to the related offices</w:t>
      </w:r>
      <w:r>
        <w:rPr>
          <w:color w:val="auto"/>
          <w:lang w:val="it-IT"/>
        </w:rPr>
        <w:t>.</w:t>
      </w:r>
    </w:p>
    <w:p>
      <w:pPr>
        <w:rPr>
          <w:color w:val="auto"/>
          <w:lang w:val="en-US"/>
        </w:rPr>
      </w:pPr>
    </w:p>
    <w:p>
      <w:pPr>
        <w:jc w:val="center"/>
        <w:rPr>
          <w:b/>
          <w:color w:val="auto"/>
          <w:lang w:val="en-US"/>
        </w:rPr>
      </w:pPr>
      <w:r>
        <w:rPr>
          <w:b/>
          <w:color w:val="auto"/>
          <w:lang w:val="en-US"/>
        </w:rPr>
        <w:t>ART. 2 (Statute)</w:t>
      </w:r>
    </w:p>
    <w:p>
      <w:pPr>
        <w:rPr>
          <w:color w:val="auto"/>
          <w:lang w:val="en-US"/>
        </w:rPr>
      </w:pPr>
      <w:r>
        <w:rPr>
          <w:color w:val="auto"/>
          <w:lang w:val="en-US"/>
        </w:rPr>
        <w:t xml:space="preserve">The IPA voluntary association is governed by this statute, and acts within the law 11 August 1991, n. 266, the regional implementing laws and the general principles of the legal system. </w:t>
      </w:r>
    </w:p>
    <w:p>
      <w:pPr>
        <w:rPr>
          <w:color w:val="auto"/>
        </w:rPr>
      </w:pPr>
      <w:r>
        <w:rPr>
          <w:color w:val="auto"/>
          <w:lang w:val="en-US"/>
        </w:rPr>
        <w:t xml:space="preserve">The meeting shall decide the eventual regulations of the statute for the discipline of more detailed organizational aspects. </w:t>
      </w:r>
    </w:p>
    <w:p>
      <w:pPr>
        <w:rPr>
          <w:color w:val="auto"/>
          <w:lang w:val="en-US"/>
        </w:rPr>
      </w:pPr>
    </w:p>
    <w:p>
      <w:pPr>
        <w:jc w:val="center"/>
        <w:rPr>
          <w:b/>
          <w:color w:val="auto"/>
          <w:lang w:val="en-US"/>
        </w:rPr>
      </w:pPr>
      <w:r>
        <w:rPr>
          <w:b/>
          <w:color w:val="auto"/>
          <w:lang w:val="en-US"/>
        </w:rPr>
        <w:t>ART. 3 (Effectiveness of the Statute)</w:t>
      </w:r>
    </w:p>
    <w:p>
      <w:pPr>
        <w:rPr>
          <w:color w:val="auto"/>
        </w:rPr>
      </w:pPr>
      <w:r>
        <w:rPr>
          <w:color w:val="auto"/>
          <w:lang w:val="en-US"/>
        </w:rPr>
        <w:t xml:space="preserve">The statute binds  the members to its observance; it constitutes the fundamental rule of behavior of the organization itself. </w:t>
      </w:r>
    </w:p>
    <w:p>
      <w:pPr>
        <w:rPr>
          <w:color w:val="auto"/>
          <w:lang w:val="en-US"/>
        </w:rPr>
      </w:pPr>
    </w:p>
    <w:p>
      <w:pPr>
        <w:jc w:val="center"/>
        <w:rPr>
          <w:b/>
          <w:color w:val="auto"/>
          <w:lang w:val="en-US"/>
        </w:rPr>
      </w:pPr>
      <w:r>
        <w:rPr>
          <w:b/>
          <w:color w:val="auto"/>
          <w:lang w:val="en-US"/>
        </w:rPr>
        <w:t>ART. 4 (Interpretation of the Statute)</w:t>
      </w:r>
    </w:p>
    <w:p>
      <w:pPr>
        <w:rPr>
          <w:color w:val="auto"/>
          <w:lang w:val="en-US"/>
        </w:rPr>
      </w:pPr>
      <w:r>
        <w:rPr>
          <w:color w:val="auto"/>
          <w:lang w:val="en-US"/>
        </w:rPr>
        <w:t>The statute is construed in accordance with the rules of interpretation of contracts and according to the criteria of Article 12 of “preleggi” to the Civil Code.</w:t>
      </w:r>
    </w:p>
    <w:p>
      <w:pPr>
        <w:rPr>
          <w:color w:val="auto"/>
          <w:lang w:val="en-US"/>
        </w:rPr>
      </w:pPr>
    </w:p>
    <w:p>
      <w:pPr>
        <w:jc w:val="center"/>
        <w:rPr>
          <w:b/>
          <w:color w:val="auto"/>
          <w:lang w:val="en-US"/>
        </w:rPr>
      </w:pPr>
      <w:r>
        <w:rPr>
          <w:b/>
          <w:color w:val="auto"/>
          <w:lang w:val="en-US"/>
        </w:rPr>
        <w:t>ART. 5 (Purpose)</w:t>
      </w:r>
    </w:p>
    <w:p>
      <w:pPr>
        <w:rPr>
          <w:color w:val="auto"/>
          <w:lang w:val="en-US"/>
        </w:rPr>
      </w:pPr>
      <w:r>
        <w:rPr>
          <w:color w:val="auto"/>
          <w:lang w:val="en-US"/>
        </w:rPr>
        <w:t xml:space="preserve">The association is non-profit and seeks solely to achieve social solidarity by operating in a manner specification, with voluntary performance in the following areas: </w:t>
      </w:r>
    </w:p>
    <w:p>
      <w:pPr>
        <w:pStyle w:val="17"/>
        <w:numPr>
          <w:ilvl w:val="0"/>
          <w:numId w:val="1"/>
        </w:numPr>
        <w:spacing w:line="240" w:lineRule="auto"/>
        <w:rPr>
          <w:color w:val="auto"/>
          <w:lang w:val="en-US"/>
        </w:rPr>
      </w:pPr>
      <w:r>
        <w:rPr>
          <w:color w:val="auto"/>
          <w:lang w:val="en-US"/>
        </w:rPr>
        <w:t xml:space="preserve">To work for the promotion and defense of human rights; </w:t>
      </w:r>
    </w:p>
    <w:p>
      <w:pPr>
        <w:pStyle w:val="17"/>
        <w:numPr>
          <w:ilvl w:val="0"/>
          <w:numId w:val="1"/>
        </w:numPr>
        <w:spacing w:line="240" w:lineRule="auto"/>
        <w:rPr>
          <w:color w:val="auto"/>
        </w:rPr>
      </w:pPr>
      <w:r>
        <w:rPr>
          <w:color w:val="auto"/>
          <w:lang w:val="en-US"/>
        </w:rPr>
        <w:t xml:space="preserve">Health care, recreational , cultural and economic life globally and on the territory (eg. orphanage in Togo); </w:t>
      </w:r>
    </w:p>
    <w:p>
      <w:pPr>
        <w:pStyle w:val="17"/>
        <w:numPr>
          <w:ilvl w:val="0"/>
          <w:numId w:val="1"/>
        </w:numPr>
        <w:spacing w:line="240" w:lineRule="auto"/>
        <w:rPr>
          <w:color w:val="auto"/>
        </w:rPr>
      </w:pPr>
      <w:r>
        <w:rPr>
          <w:color w:val="auto"/>
          <w:lang w:val="en-US"/>
        </w:rPr>
        <w:t xml:space="preserve">To promote initiatives for the </w:t>
      </w:r>
      <w:r>
        <w:rPr>
          <w:strike w:val="0"/>
          <w:dstrike w:val="0"/>
          <w:color w:val="auto"/>
          <w:lang w:val="en-US"/>
        </w:rPr>
        <w:t>elder</w:t>
      </w:r>
      <w:r>
        <w:rPr>
          <w:strike/>
          <w:color w:val="auto"/>
          <w:lang w:val="en-US"/>
        </w:rPr>
        <w:t>l</w:t>
      </w:r>
      <w:r>
        <w:rPr>
          <w:strike w:val="0"/>
          <w:dstrike w:val="0"/>
          <w:color w:val="auto"/>
          <w:lang w:val="en-US"/>
        </w:rPr>
        <w:t>s</w:t>
      </w:r>
      <w:r>
        <w:rPr>
          <w:color w:val="auto"/>
          <w:lang w:val="en-US"/>
        </w:rPr>
        <w:t>;</w:t>
      </w:r>
    </w:p>
    <w:p>
      <w:pPr>
        <w:pStyle w:val="17"/>
        <w:numPr>
          <w:ilvl w:val="0"/>
          <w:numId w:val="1"/>
        </w:numPr>
        <w:spacing w:line="240" w:lineRule="auto"/>
        <w:rPr>
          <w:color w:val="auto"/>
        </w:rPr>
      </w:pPr>
      <w:r>
        <w:rPr>
          <w:color w:val="auto"/>
          <w:lang w:val="en-US"/>
        </w:rPr>
        <w:t xml:space="preserve">To contribute to alleviate others’ suffering, reaching the </w:t>
      </w:r>
      <w:r>
        <w:rPr>
          <w:strike w:val="0"/>
          <w:dstrike w:val="0"/>
          <w:color w:val="auto"/>
          <w:lang w:val="en-US"/>
        </w:rPr>
        <w:t>patients</w:t>
      </w:r>
      <w:r>
        <w:rPr>
          <w:color w:val="auto"/>
          <w:lang w:val="en-US"/>
        </w:rPr>
        <w:t xml:space="preserve"> in hospitals, in other places of shelter and in their own homes, carrying out complementary activities to those of the health personnel without replacing them, without subverting the roles; </w:t>
      </w:r>
    </w:p>
    <w:p>
      <w:pPr>
        <w:pStyle w:val="17"/>
        <w:numPr>
          <w:ilvl w:val="0"/>
          <w:numId w:val="1"/>
        </w:numPr>
        <w:spacing w:line="240" w:lineRule="auto"/>
        <w:rPr>
          <w:color w:val="auto"/>
          <w:lang w:val="en-US"/>
        </w:rPr>
      </w:pPr>
      <w:r>
        <w:rPr>
          <w:color w:val="auto"/>
          <w:lang w:val="en-US"/>
        </w:rPr>
        <w:t>Provide, in case of natural or not disasters: economic, health and recreational support, as far as possible in relation to the capacity of the members.</w:t>
      </w:r>
    </w:p>
    <w:p>
      <w:pPr>
        <w:rPr>
          <w:color w:val="auto"/>
          <w:lang w:val="en-US"/>
        </w:rPr>
      </w:pPr>
      <w:r>
        <w:rPr>
          <w:color w:val="auto"/>
          <w:lang w:val="en-US"/>
        </w:rPr>
        <w:t>In addiction the Association proposes to carry out the following activities:</w:t>
      </w:r>
    </w:p>
    <w:p>
      <w:pPr>
        <w:pStyle w:val="17"/>
        <w:numPr>
          <w:ilvl w:val="1"/>
          <w:numId w:val="1"/>
        </w:numPr>
        <w:spacing w:line="240" w:lineRule="auto"/>
        <w:rPr>
          <w:color w:val="auto"/>
        </w:rPr>
      </w:pPr>
      <w:r>
        <w:rPr>
          <w:color w:val="auto"/>
          <w:lang w:val="en-US"/>
        </w:rPr>
        <w:t>Realize fundraising events (eg. Dinners, parties, exhibitions ...) achieving solidarity</w:t>
      </w:r>
      <w:r>
        <w:rPr>
          <w:color w:val="auto"/>
          <w:lang w:val="it-IT"/>
        </w:rPr>
        <w:t xml:space="preserve"> m</w:t>
      </w:r>
      <w:r>
        <w:rPr>
          <w:color w:val="auto"/>
          <w:lang w:val="en-US"/>
        </w:rPr>
        <w:t>arkets with products from affected areas to aid;</w:t>
      </w:r>
    </w:p>
    <w:p>
      <w:pPr>
        <w:pStyle w:val="17"/>
        <w:numPr>
          <w:ilvl w:val="1"/>
          <w:numId w:val="1"/>
        </w:numPr>
        <w:spacing w:line="240" w:lineRule="auto"/>
        <w:rPr>
          <w:color w:val="auto"/>
          <w:lang w:val="en-US"/>
        </w:rPr>
      </w:pPr>
      <w:r>
        <w:rPr>
          <w:color w:val="auto"/>
          <w:lang w:val="en-US"/>
        </w:rPr>
        <w:t xml:space="preserve">Promote and /or organize sports events for awareness and fundraising; </w:t>
      </w:r>
    </w:p>
    <w:p>
      <w:pPr>
        <w:pStyle w:val="17"/>
        <w:numPr>
          <w:ilvl w:val="1"/>
          <w:numId w:val="1"/>
        </w:numPr>
        <w:spacing w:line="240" w:lineRule="auto"/>
        <w:rPr>
          <w:color w:val="auto"/>
          <w:lang w:val="en-US"/>
        </w:rPr>
      </w:pPr>
      <w:r>
        <w:rPr>
          <w:color w:val="auto"/>
          <w:lang w:val="en-US"/>
        </w:rPr>
        <w:t xml:space="preserve">Promote and /or organize cultural events to educate society; </w:t>
      </w:r>
    </w:p>
    <w:p>
      <w:pPr>
        <w:pStyle w:val="17"/>
        <w:numPr>
          <w:ilvl w:val="1"/>
          <w:numId w:val="1"/>
        </w:numPr>
        <w:spacing w:line="240" w:lineRule="auto"/>
        <w:rPr>
          <w:color w:val="auto"/>
          <w:lang w:val="en-US"/>
        </w:rPr>
      </w:pPr>
      <w:r>
        <w:rPr>
          <w:color w:val="auto"/>
          <w:lang w:val="en-US"/>
        </w:rPr>
        <w:t xml:space="preserve">Establish personal relationships able to educate and grow the citizens in situations particularly subjective and social discomfort. </w:t>
      </w:r>
    </w:p>
    <w:p>
      <w:pPr>
        <w:rPr>
          <w:color w:val="auto"/>
          <w:lang w:val="en-US"/>
        </w:rPr>
      </w:pPr>
      <w:r>
        <w:rPr>
          <w:color w:val="auto"/>
          <w:lang w:val="en-US"/>
        </w:rPr>
        <w:t xml:space="preserve">The association may also conduct any other cultural or recreational activities, and may perform any economic or financial transactions, securities or real estate, for the better attainment of its purposes. </w:t>
      </w:r>
    </w:p>
    <w:p>
      <w:pPr>
        <w:rPr>
          <w:color w:val="auto"/>
          <w:lang w:val="en-US"/>
        </w:rPr>
      </w:pPr>
      <w:r>
        <w:rPr>
          <w:color w:val="auto"/>
          <w:lang w:val="en-US"/>
        </w:rPr>
        <w:t xml:space="preserve">The association also undertakes to be used in the protection of cultural and environmental goods: </w:t>
      </w:r>
    </w:p>
    <w:p>
      <w:pPr>
        <w:pStyle w:val="17"/>
        <w:numPr>
          <w:ilvl w:val="1"/>
          <w:numId w:val="1"/>
        </w:numPr>
        <w:spacing w:line="240" w:lineRule="auto"/>
        <w:rPr>
          <w:color w:val="auto"/>
          <w:lang w:val="en-US"/>
        </w:rPr>
      </w:pPr>
      <w:r>
        <w:rPr>
          <w:color w:val="auto"/>
          <w:lang w:val="en-US"/>
        </w:rPr>
        <w:t xml:space="preserve">Protection, preservation and enhancement of the environment and the ecological processes in balance warranty natural; </w:t>
      </w:r>
    </w:p>
    <w:p>
      <w:pPr>
        <w:pStyle w:val="17"/>
        <w:numPr>
          <w:ilvl w:val="1"/>
          <w:numId w:val="1"/>
        </w:numPr>
        <w:spacing w:line="240" w:lineRule="auto"/>
        <w:rPr>
          <w:color w:val="auto"/>
          <w:lang w:val="en-US"/>
        </w:rPr>
      </w:pPr>
      <w:r>
        <w:rPr>
          <w:color w:val="auto"/>
          <w:lang w:val="en-US"/>
        </w:rPr>
        <w:t xml:space="preserve">Recovery of abandoned cultural heritage; </w:t>
      </w:r>
    </w:p>
    <w:p>
      <w:pPr>
        <w:pStyle w:val="17"/>
        <w:numPr>
          <w:ilvl w:val="1"/>
          <w:numId w:val="1"/>
        </w:numPr>
        <w:spacing w:line="240" w:lineRule="auto"/>
        <w:rPr>
          <w:color w:val="auto"/>
          <w:lang w:val="en-US"/>
        </w:rPr>
      </w:pPr>
      <w:r>
        <w:rPr>
          <w:color w:val="auto"/>
          <w:lang w:val="en-US"/>
        </w:rPr>
        <w:t xml:space="preserve">Protection, preservation and enhancement of the heritage of the areas of archaeological interest. </w:t>
      </w:r>
    </w:p>
    <w:p>
      <w:pPr>
        <w:rPr>
          <w:color w:val="auto"/>
          <w:lang w:val="en-US"/>
        </w:rPr>
      </w:pPr>
    </w:p>
    <w:p>
      <w:pPr>
        <w:jc w:val="center"/>
        <w:rPr>
          <w:b/>
          <w:color w:val="auto"/>
          <w:lang w:val="en-US"/>
        </w:rPr>
      </w:pPr>
      <w:r>
        <w:rPr>
          <w:b/>
          <w:color w:val="auto"/>
          <w:lang w:val="en-US"/>
        </w:rPr>
        <w:t>ART. 6 (Admission)</w:t>
      </w:r>
    </w:p>
    <w:p>
      <w:pPr>
        <w:rPr>
          <w:color w:val="auto"/>
          <w:lang w:val="en-US"/>
        </w:rPr>
      </w:pPr>
      <w:r>
        <w:rPr>
          <w:color w:val="auto"/>
          <w:lang w:val="en-US"/>
        </w:rPr>
        <w:t xml:space="preserve">They are members of  the association all natural persons who share its aims and, moved by a spirit of Solidarity, undertakes concrete steps to implement them. </w:t>
      </w:r>
    </w:p>
    <w:p>
      <w:pPr>
        <w:rPr>
          <w:color w:val="auto"/>
          <w:lang w:val="en-US"/>
        </w:rPr>
      </w:pPr>
      <w:r>
        <w:rPr>
          <w:color w:val="auto"/>
          <w:lang w:val="en-US"/>
        </w:rPr>
        <w:t xml:space="preserve">Admission to the organization is decided by the Board, ratified by the Assembly at its first helpful meeting. </w:t>
      </w:r>
    </w:p>
    <w:p>
      <w:pPr>
        <w:rPr>
          <w:color w:val="auto"/>
          <w:lang w:val="en-US"/>
        </w:rPr>
      </w:pPr>
      <w:r>
        <w:rPr>
          <w:color w:val="auto"/>
          <w:lang w:val="en-US"/>
        </w:rPr>
        <w:t xml:space="preserve">The admission to membership is open-ended, subject to the right of withdrawal. </w:t>
      </w:r>
    </w:p>
    <w:p>
      <w:pPr>
        <w:rPr>
          <w:color w:val="auto"/>
          <w:lang w:val="en-US"/>
        </w:rPr>
      </w:pPr>
      <w:r>
        <w:rPr>
          <w:color w:val="auto"/>
          <w:lang w:val="en-US"/>
        </w:rPr>
        <w:t xml:space="preserve">To be qualified as "voluntary added" it just takes the President pass. </w:t>
      </w:r>
    </w:p>
    <w:p>
      <w:pPr>
        <w:rPr>
          <w:color w:val="auto"/>
          <w:lang w:val="en-US"/>
        </w:rPr>
      </w:pPr>
    </w:p>
    <w:p>
      <w:pPr>
        <w:jc w:val="center"/>
        <w:rPr>
          <w:b/>
          <w:color w:val="auto"/>
          <w:lang w:val="en-US"/>
        </w:rPr>
      </w:pPr>
      <w:r>
        <w:rPr>
          <w:b/>
          <w:color w:val="auto"/>
          <w:lang w:val="en-US"/>
        </w:rPr>
        <w:t>ART. 7 (Rights and duties of members)</w:t>
      </w:r>
    </w:p>
    <w:p>
      <w:pPr>
        <w:rPr>
          <w:color w:val="auto"/>
          <w:lang w:val="en-US"/>
        </w:rPr>
      </w:pPr>
      <w:r>
        <w:rPr>
          <w:color w:val="auto"/>
          <w:lang w:val="en-US"/>
        </w:rPr>
        <w:t xml:space="preserve">The members of the association have the right to: </w:t>
      </w:r>
    </w:p>
    <w:p>
      <w:pPr>
        <w:pStyle w:val="17"/>
        <w:numPr>
          <w:ilvl w:val="1"/>
          <w:numId w:val="1"/>
        </w:numPr>
        <w:spacing w:line="240" w:lineRule="auto"/>
        <w:rPr>
          <w:color w:val="auto"/>
          <w:lang w:val="en-US"/>
        </w:rPr>
      </w:pPr>
      <w:r>
        <w:rPr>
          <w:color w:val="auto"/>
          <w:lang w:val="en-US"/>
        </w:rPr>
        <w:t xml:space="preserve">elect the Governing Board and be elected in the same organs; </w:t>
      </w:r>
    </w:p>
    <w:p>
      <w:pPr>
        <w:pStyle w:val="17"/>
        <w:numPr>
          <w:ilvl w:val="1"/>
          <w:numId w:val="1"/>
        </w:numPr>
        <w:spacing w:line="240" w:lineRule="auto"/>
        <w:rPr>
          <w:color w:val="auto"/>
          <w:lang w:val="en-US"/>
        </w:rPr>
      </w:pPr>
      <w:r>
        <w:rPr>
          <w:color w:val="auto"/>
          <w:lang w:val="en-US"/>
        </w:rPr>
        <w:t xml:space="preserve">be informed about the activities and monitor their performance; </w:t>
      </w:r>
    </w:p>
    <w:p>
      <w:pPr>
        <w:pStyle w:val="17"/>
        <w:numPr>
          <w:ilvl w:val="1"/>
          <w:numId w:val="1"/>
        </w:numPr>
        <w:spacing w:line="240" w:lineRule="auto"/>
        <w:rPr>
          <w:color w:val="auto"/>
          <w:lang w:val="en-US"/>
        </w:rPr>
      </w:pPr>
      <w:r>
        <w:rPr>
          <w:color w:val="auto"/>
          <w:lang w:val="en-US"/>
        </w:rPr>
        <w:t xml:space="preserve">take note of the agenda of the meetings, to inspect the income statement - Financial, consult the minutes. </w:t>
      </w:r>
    </w:p>
    <w:p>
      <w:pPr>
        <w:rPr>
          <w:color w:val="auto"/>
          <w:lang w:val="en-US"/>
        </w:rPr>
      </w:pPr>
      <w:r>
        <w:rPr>
          <w:color w:val="auto"/>
          <w:lang w:val="en-US"/>
        </w:rPr>
        <w:t xml:space="preserve">The members of the association have a duty to: </w:t>
      </w:r>
    </w:p>
    <w:p>
      <w:pPr>
        <w:pStyle w:val="17"/>
        <w:numPr>
          <w:ilvl w:val="1"/>
          <w:numId w:val="1"/>
        </w:numPr>
        <w:spacing w:line="240" w:lineRule="auto"/>
        <w:rPr>
          <w:color w:val="auto"/>
          <w:lang w:val="en-US"/>
        </w:rPr>
      </w:pPr>
      <w:r>
        <w:rPr>
          <w:color w:val="auto"/>
          <w:lang w:val="en-US"/>
        </w:rPr>
        <w:t>comply with this statute and any rules of procedure;</w:t>
      </w:r>
    </w:p>
    <w:p>
      <w:pPr>
        <w:pStyle w:val="17"/>
        <w:numPr>
          <w:ilvl w:val="1"/>
          <w:numId w:val="1"/>
        </w:numPr>
        <w:spacing w:line="240" w:lineRule="auto"/>
        <w:rPr>
          <w:color w:val="auto"/>
          <w:lang w:val="en-US"/>
        </w:rPr>
      </w:pPr>
      <w:r>
        <w:rPr>
          <w:color w:val="auto"/>
          <w:lang w:val="en-US"/>
        </w:rPr>
        <w:t xml:space="preserve">conduct its business towards others in a personal, spontaneous and free, not-for-profit; </w:t>
      </w:r>
    </w:p>
    <w:p>
      <w:pPr>
        <w:pStyle w:val="17"/>
        <w:numPr>
          <w:ilvl w:val="1"/>
          <w:numId w:val="1"/>
        </w:numPr>
        <w:spacing w:line="240" w:lineRule="auto"/>
        <w:rPr>
          <w:color w:val="auto"/>
          <w:lang w:val="en-US"/>
        </w:rPr>
      </w:pPr>
      <w:r>
        <w:rPr>
          <w:color w:val="auto"/>
          <w:lang w:val="en-US"/>
        </w:rPr>
        <w:t xml:space="preserve">pay the membership fee according to the amount established annually. The membership fee is non-transferable and not revalued. </w:t>
      </w:r>
    </w:p>
    <w:p>
      <w:pPr>
        <w:spacing w:line="240" w:lineRule="auto"/>
        <w:ind w:left="1080" w:firstLine="0"/>
        <w:rPr>
          <w:color w:val="auto"/>
          <w:lang w:val="en-US"/>
        </w:rPr>
      </w:pPr>
    </w:p>
    <w:p>
      <w:pPr>
        <w:jc w:val="center"/>
        <w:rPr>
          <w:b/>
          <w:color w:val="auto"/>
          <w:lang w:val="en-US"/>
        </w:rPr>
      </w:pPr>
      <w:r>
        <w:rPr>
          <w:b/>
          <w:color w:val="auto"/>
          <w:lang w:val="en-US"/>
        </w:rPr>
        <w:t>ART. 8 (Loss of membership)</w:t>
      </w:r>
    </w:p>
    <w:p>
      <w:pPr>
        <w:rPr>
          <w:color w:val="auto"/>
          <w:lang w:val="en-US"/>
        </w:rPr>
      </w:pPr>
      <w:r>
        <w:rPr>
          <w:color w:val="auto"/>
          <w:lang w:val="en-US"/>
        </w:rPr>
        <w:t xml:space="preserve">The quality of member is lost by death, withdrawal or exclusion. </w:t>
      </w:r>
    </w:p>
    <w:p>
      <w:pPr>
        <w:rPr>
          <w:color w:val="auto"/>
          <w:lang w:val="en-US"/>
        </w:rPr>
      </w:pPr>
      <w:r>
        <w:rPr>
          <w:color w:val="auto"/>
          <w:lang w:val="en-US"/>
        </w:rPr>
        <w:t xml:space="preserve">A member may recede by a written notice to the Governing Board. </w:t>
      </w:r>
    </w:p>
    <w:p>
      <w:pPr>
        <w:rPr>
          <w:color w:val="auto"/>
          <w:lang w:val="en-US"/>
        </w:rPr>
      </w:pPr>
      <w:r>
        <w:rPr>
          <w:color w:val="auto"/>
          <w:lang w:val="en-US"/>
        </w:rPr>
        <w:t xml:space="preserve">The members who violate the duties established by the Statute, can be excluded from the organization. The exclusion is decided by the Assembly by secret ballot and after listening to excuses concerned. </w:t>
      </w:r>
    </w:p>
    <w:p>
      <w:pPr>
        <w:rPr>
          <w:color w:val="auto"/>
          <w:lang w:val="en-US"/>
        </w:rPr>
      </w:pPr>
    </w:p>
    <w:p>
      <w:pPr>
        <w:jc w:val="center"/>
        <w:rPr>
          <w:b/>
          <w:color w:val="auto"/>
          <w:lang w:val="en-US"/>
        </w:rPr>
      </w:pPr>
      <w:r>
        <w:rPr>
          <w:b/>
          <w:color w:val="auto"/>
          <w:lang w:val="en-US"/>
        </w:rPr>
        <w:t>ART. 9 (Corporate bodies)</w:t>
      </w:r>
    </w:p>
    <w:p>
      <w:pPr>
        <w:rPr>
          <w:color w:val="auto"/>
          <w:lang w:val="en-US"/>
        </w:rPr>
      </w:pPr>
      <w:r>
        <w:rPr>
          <w:color w:val="auto"/>
          <w:lang w:val="en-US"/>
        </w:rPr>
        <w:t xml:space="preserve">The organs of the association are: </w:t>
      </w:r>
    </w:p>
    <w:p>
      <w:pPr>
        <w:pStyle w:val="17"/>
        <w:numPr>
          <w:ilvl w:val="1"/>
          <w:numId w:val="1"/>
        </w:numPr>
        <w:spacing w:line="240" w:lineRule="auto"/>
        <w:rPr>
          <w:color w:val="auto"/>
          <w:lang w:val="en-US"/>
        </w:rPr>
      </w:pPr>
      <w:r>
        <w:rPr>
          <w:color w:val="auto"/>
          <w:lang w:val="en-US"/>
        </w:rPr>
        <w:t xml:space="preserve">General Assembly </w:t>
      </w:r>
    </w:p>
    <w:p>
      <w:pPr>
        <w:pStyle w:val="17"/>
        <w:numPr>
          <w:ilvl w:val="1"/>
          <w:numId w:val="1"/>
        </w:numPr>
        <w:spacing w:line="240" w:lineRule="auto"/>
        <w:rPr>
          <w:color w:val="auto"/>
          <w:lang w:val="en-US"/>
        </w:rPr>
      </w:pPr>
      <w:r>
        <w:rPr>
          <w:color w:val="auto"/>
          <w:lang w:val="en-US"/>
        </w:rPr>
        <w:t xml:space="preserve">Governing Board  </w:t>
      </w:r>
    </w:p>
    <w:p>
      <w:pPr>
        <w:pStyle w:val="17"/>
        <w:numPr>
          <w:ilvl w:val="1"/>
          <w:numId w:val="1"/>
        </w:numPr>
        <w:spacing w:line="240" w:lineRule="auto"/>
        <w:rPr>
          <w:color w:val="auto"/>
          <w:lang w:val="en-US"/>
        </w:rPr>
      </w:pPr>
      <w:r>
        <w:rPr>
          <w:color w:val="auto"/>
          <w:lang w:val="en-US"/>
        </w:rPr>
        <w:t xml:space="preserve">Vice president </w:t>
      </w:r>
    </w:p>
    <w:p>
      <w:pPr>
        <w:pStyle w:val="17"/>
        <w:numPr>
          <w:ilvl w:val="1"/>
          <w:numId w:val="1"/>
        </w:numPr>
        <w:spacing w:line="240" w:lineRule="auto"/>
        <w:rPr>
          <w:color w:val="auto"/>
          <w:lang w:val="en-US"/>
        </w:rPr>
      </w:pPr>
      <w:r>
        <w:rPr>
          <w:color w:val="auto"/>
          <w:lang w:val="en-US"/>
        </w:rPr>
        <w:t xml:space="preserve">President </w:t>
      </w:r>
    </w:p>
    <w:p>
      <w:pPr>
        <w:rPr>
          <w:color w:val="auto"/>
        </w:rPr>
      </w:pPr>
      <w:r>
        <w:rPr>
          <w:color w:val="auto"/>
          <w:lang w:val="en-US"/>
        </w:rPr>
        <w:t xml:space="preserve">All officers duties are free of charge for the association  and the activities of members cannot be paid in any way even by any direct beneficiaries. </w:t>
      </w:r>
    </w:p>
    <w:p>
      <w:pPr>
        <w:rPr>
          <w:color w:val="auto"/>
          <w:lang w:val="en-US"/>
        </w:rPr>
      </w:pPr>
      <w:r>
        <w:rPr>
          <w:color w:val="auto"/>
          <w:lang w:val="en-US"/>
        </w:rPr>
        <w:t xml:space="preserve">Members can only be repaid by the documented expenses actually incurred for services provided or requested  by the Association, within previously established criteria.    </w:t>
      </w:r>
    </w:p>
    <w:p>
      <w:pPr>
        <w:rPr>
          <w:color w:val="auto"/>
          <w:lang w:val="en-US"/>
        </w:rPr>
      </w:pPr>
    </w:p>
    <w:p>
      <w:pPr>
        <w:jc w:val="center"/>
        <w:rPr>
          <w:b/>
          <w:color w:val="auto"/>
          <w:lang w:val="en-US"/>
        </w:rPr>
      </w:pPr>
      <w:r>
        <w:rPr>
          <w:b/>
          <w:color w:val="auto"/>
          <w:lang w:val="en-US"/>
        </w:rPr>
        <w:t>ART. 10 (Volunteer)</w:t>
      </w:r>
    </w:p>
    <w:p>
      <w:pPr>
        <w:rPr>
          <w:color w:val="auto"/>
          <w:lang w:val="en-US"/>
        </w:rPr>
      </w:pPr>
      <w:r>
        <w:rPr>
          <w:color w:val="auto"/>
          <w:lang w:val="en-US"/>
        </w:rPr>
        <w:t>The association can benefit from the help of volunteers from outside the association who, as not registered in the association, may take part in assemblies and/or in the internal decisions of the Association; the volunteer is asked to contribute to the costs of the events they want to be part of as determined by Governing Board.</w:t>
      </w:r>
    </w:p>
    <w:p>
      <w:pPr>
        <w:rPr>
          <w:color w:val="auto"/>
          <w:lang w:val="en-US"/>
        </w:rPr>
      </w:pPr>
    </w:p>
    <w:p>
      <w:pPr>
        <w:jc w:val="center"/>
        <w:rPr>
          <w:b/>
          <w:color w:val="auto"/>
          <w:lang w:val="en-US"/>
        </w:rPr>
      </w:pPr>
      <w:r>
        <w:rPr>
          <w:b/>
          <w:color w:val="auto"/>
          <w:lang w:val="en-US"/>
        </w:rPr>
        <w:t xml:space="preserve">ART. 11 (The assembly) </w:t>
      </w:r>
    </w:p>
    <w:p>
      <w:pPr>
        <w:rPr>
          <w:color w:val="auto"/>
          <w:lang w:val="en-US"/>
        </w:rPr>
      </w:pPr>
      <w:r>
        <w:rPr>
          <w:color w:val="auto"/>
          <w:lang w:val="en-US"/>
        </w:rPr>
        <w:t xml:space="preserve">The Assembly is composed of all the members of 'Association paying the annual fee and is the sovereign body. </w:t>
      </w:r>
    </w:p>
    <w:p>
      <w:pPr>
        <w:rPr>
          <w:color w:val="auto"/>
          <w:lang w:val="en-US"/>
        </w:rPr>
      </w:pPr>
      <w:r>
        <w:rPr>
          <w:color w:val="auto"/>
          <w:lang w:val="en-US"/>
        </w:rPr>
        <w:t xml:space="preserve">The meeting is chaired by the President of the association or, in his absence, the Vice-President. </w:t>
      </w:r>
    </w:p>
    <w:p>
      <w:pPr>
        <w:rPr>
          <w:color w:val="auto"/>
          <w:lang w:val="en-US"/>
        </w:rPr>
      </w:pPr>
      <w:r>
        <w:rPr>
          <w:color w:val="auto"/>
          <w:lang w:val="en-US"/>
        </w:rPr>
        <w:t xml:space="preserve">The votes are obvious, except those relating to a person. </w:t>
      </w:r>
    </w:p>
    <w:p>
      <w:pPr>
        <w:rPr>
          <w:color w:val="auto"/>
          <w:lang w:val="en-US"/>
        </w:rPr>
      </w:pPr>
      <w:r>
        <w:rPr>
          <w:color w:val="auto"/>
          <w:lang w:val="en-US"/>
        </w:rPr>
        <w:t xml:space="preserve">The meetings of the Assembly is drawn to the minutes, signed by the President and the minutes and kept at the headquarters of the association, in a clear vision to all members. </w:t>
      </w:r>
    </w:p>
    <w:p>
      <w:pPr>
        <w:rPr>
          <w:color w:val="auto"/>
          <w:lang w:val="en-US"/>
        </w:rPr>
      </w:pPr>
    </w:p>
    <w:p>
      <w:pPr>
        <w:jc w:val="center"/>
        <w:rPr>
          <w:b/>
          <w:color w:val="auto"/>
          <w:lang w:val="en-US"/>
        </w:rPr>
      </w:pPr>
      <w:r>
        <w:rPr>
          <w:b/>
          <w:color w:val="auto"/>
          <w:lang w:val="en-US"/>
        </w:rPr>
        <w:t>ART.12 (Assembly Tasks)</w:t>
      </w:r>
    </w:p>
    <w:p>
      <w:pPr>
        <w:rPr>
          <w:color w:val="auto"/>
          <w:lang w:val="en-US"/>
        </w:rPr>
      </w:pPr>
      <w:r>
        <w:rPr>
          <w:color w:val="auto"/>
          <w:lang w:val="en-US"/>
        </w:rPr>
        <w:t xml:space="preserve">The Assembly must: </w:t>
      </w:r>
    </w:p>
    <w:p>
      <w:pPr>
        <w:pStyle w:val="17"/>
        <w:numPr>
          <w:ilvl w:val="1"/>
          <w:numId w:val="1"/>
        </w:numPr>
        <w:spacing w:line="240" w:lineRule="auto"/>
        <w:rPr>
          <w:color w:val="auto"/>
          <w:lang w:val="en-US"/>
        </w:rPr>
      </w:pPr>
      <w:r>
        <w:rPr>
          <w:color w:val="auto"/>
          <w:lang w:val="en-US"/>
        </w:rPr>
        <w:t xml:space="preserve">approve the final account; </w:t>
      </w:r>
    </w:p>
    <w:p>
      <w:pPr>
        <w:pStyle w:val="17"/>
        <w:numPr>
          <w:ilvl w:val="1"/>
          <w:numId w:val="1"/>
        </w:numPr>
        <w:spacing w:line="240" w:lineRule="auto"/>
        <w:rPr>
          <w:color w:val="auto"/>
          <w:lang w:val="en-US"/>
        </w:rPr>
      </w:pPr>
      <w:r>
        <w:rPr>
          <w:color w:val="auto"/>
          <w:lang w:val="en-US"/>
        </w:rPr>
        <w:t>fix the amount of the annual membership fee;</w:t>
      </w:r>
    </w:p>
    <w:p>
      <w:pPr>
        <w:pStyle w:val="17"/>
        <w:numPr>
          <w:ilvl w:val="1"/>
          <w:numId w:val="1"/>
        </w:numPr>
        <w:spacing w:line="240" w:lineRule="auto"/>
        <w:rPr>
          <w:color w:val="auto"/>
          <w:lang w:val="en-US"/>
        </w:rPr>
      </w:pPr>
      <w:r>
        <w:rPr>
          <w:color w:val="auto"/>
          <w:lang w:val="en-US"/>
        </w:rPr>
        <w:t xml:space="preserve">outline the program of the association; </w:t>
      </w:r>
    </w:p>
    <w:p>
      <w:pPr>
        <w:pStyle w:val="17"/>
        <w:numPr>
          <w:ilvl w:val="1"/>
          <w:numId w:val="1"/>
        </w:numPr>
        <w:spacing w:line="240" w:lineRule="auto"/>
        <w:rPr>
          <w:color w:val="auto"/>
          <w:lang w:val="en-US"/>
        </w:rPr>
      </w:pPr>
      <w:r>
        <w:rPr>
          <w:color w:val="auto"/>
          <w:lang w:val="en-US"/>
        </w:rPr>
        <w:t xml:space="preserve">approve any internal regulations; </w:t>
      </w:r>
    </w:p>
    <w:p>
      <w:pPr>
        <w:pStyle w:val="17"/>
        <w:numPr>
          <w:ilvl w:val="1"/>
          <w:numId w:val="1"/>
        </w:numPr>
        <w:spacing w:line="240" w:lineRule="auto"/>
        <w:rPr>
          <w:color w:val="auto"/>
          <w:lang w:val="en-US"/>
        </w:rPr>
      </w:pPr>
      <w:r>
        <w:rPr>
          <w:color w:val="auto"/>
          <w:lang w:val="en-US"/>
        </w:rPr>
        <w:t xml:space="preserve">elect and remove the President and the Executive Council; </w:t>
      </w:r>
    </w:p>
    <w:p>
      <w:pPr>
        <w:pStyle w:val="17"/>
        <w:numPr>
          <w:ilvl w:val="1"/>
          <w:numId w:val="1"/>
        </w:numPr>
        <w:spacing w:line="240" w:lineRule="auto"/>
        <w:rPr>
          <w:color w:val="auto"/>
          <w:lang w:val="en-US"/>
        </w:rPr>
      </w:pPr>
      <w:r>
        <w:rPr>
          <w:color w:val="auto"/>
          <w:lang w:val="en-US"/>
        </w:rPr>
        <w:t xml:space="preserve">decide on whatever it is requested  by law or statute, or asked by the Governing Board. </w:t>
      </w:r>
    </w:p>
    <w:p>
      <w:pPr>
        <w:rPr>
          <w:color w:val="auto"/>
          <w:lang w:val="en-US"/>
        </w:rPr>
      </w:pPr>
    </w:p>
    <w:p>
      <w:pPr>
        <w:rPr>
          <w:color w:val="auto"/>
          <w:lang w:val="en-US"/>
        </w:rPr>
      </w:pPr>
    </w:p>
    <w:p>
      <w:pPr>
        <w:jc w:val="center"/>
        <w:rPr>
          <w:b/>
          <w:color w:val="auto"/>
          <w:lang w:val="en-US"/>
        </w:rPr>
      </w:pPr>
      <w:r>
        <w:rPr>
          <w:b/>
          <w:color w:val="auto"/>
          <w:lang w:val="en-US"/>
        </w:rPr>
        <w:t>ART. 13 (Convocation)</w:t>
      </w:r>
    </w:p>
    <w:p>
      <w:pPr>
        <w:rPr>
          <w:color w:val="auto"/>
          <w:lang w:val="en-US"/>
        </w:rPr>
      </w:pPr>
      <w:r>
        <w:rPr>
          <w:color w:val="auto"/>
          <w:lang w:val="en-US"/>
        </w:rPr>
        <w:t xml:space="preserve">The Assembly meets at least once a year to approve the budget. </w:t>
      </w:r>
    </w:p>
    <w:p>
      <w:pPr>
        <w:rPr>
          <w:color w:val="auto"/>
          <w:lang w:val="en-US"/>
        </w:rPr>
      </w:pPr>
      <w:r>
        <w:rPr>
          <w:color w:val="auto"/>
          <w:lang w:val="en-US"/>
        </w:rPr>
        <w:t xml:space="preserve">In any other case, the Assembly meets if: requested by the President; on reasoned application;  if requested by at least one tenth of members or when the Governing Board deems it necessary. </w:t>
      </w:r>
    </w:p>
    <w:p>
      <w:pPr>
        <w:rPr>
          <w:color w:val="auto"/>
          <w:lang w:val="en-US"/>
        </w:rPr>
      </w:pPr>
      <w:r>
        <w:rPr>
          <w:color w:val="auto"/>
          <w:lang w:val="en-US"/>
        </w:rPr>
        <w:t xml:space="preserve">Meetings are called by written notice or by email message, containing the agenda, sent at least 15 days before the date fixed for the meeting at the address recorded in the book of shareholders or by notice posted at the headquarters of the association. </w:t>
      </w:r>
    </w:p>
    <w:p>
      <w:pPr>
        <w:rPr>
          <w:color w:val="auto"/>
          <w:lang w:val="en-US"/>
        </w:rPr>
      </w:pPr>
    </w:p>
    <w:p>
      <w:pPr>
        <w:jc w:val="center"/>
        <w:rPr>
          <w:b/>
          <w:color w:val="auto"/>
          <w:lang w:val="en-US"/>
        </w:rPr>
      </w:pPr>
      <w:r>
        <w:rPr>
          <w:b/>
          <w:color w:val="auto"/>
          <w:lang w:val="en-US"/>
        </w:rPr>
        <w:t>ART. 14 (Ordinary General Meeting)</w:t>
      </w:r>
    </w:p>
    <w:p>
      <w:pPr>
        <w:rPr>
          <w:color w:val="auto"/>
          <w:lang w:val="en-US"/>
        </w:rPr>
      </w:pPr>
      <w:r>
        <w:rPr>
          <w:color w:val="auto"/>
          <w:lang w:val="en-US"/>
        </w:rPr>
        <w:t>The ordinary general meeting shall be duly constituted on first call with the presence of half plus one of the members, present in person or by proxy, and second call whatever the number of members present, in person or by proxy.</w:t>
      </w:r>
    </w:p>
    <w:p>
      <w:pPr>
        <w:rPr>
          <w:color w:val="auto"/>
          <w:lang w:val="en-US"/>
        </w:rPr>
      </w:pPr>
      <w:r>
        <w:rPr>
          <w:color w:val="auto"/>
          <w:lang w:val="en-US"/>
        </w:rPr>
        <w:t>The Assembly may decide by a majority vote of those present.</w:t>
      </w:r>
    </w:p>
    <w:p>
      <w:pPr>
        <w:rPr>
          <w:color w:val="auto"/>
          <w:lang w:val="en-US"/>
        </w:rPr>
      </w:pPr>
      <w:r>
        <w:rPr>
          <w:color w:val="auto"/>
          <w:lang w:val="en-US"/>
        </w:rPr>
        <w:t>On resolutions that affect their responsibilities, the directors are not entitled to vote.</w:t>
      </w:r>
    </w:p>
    <w:p>
      <w:pPr>
        <w:rPr>
          <w:color w:val="auto"/>
          <w:lang w:val="en-US"/>
        </w:rPr>
      </w:pPr>
    </w:p>
    <w:p>
      <w:pPr>
        <w:jc w:val="center"/>
        <w:rPr>
          <w:b/>
          <w:color w:val="auto"/>
          <w:lang w:val="en-US"/>
        </w:rPr>
      </w:pPr>
      <w:r>
        <w:rPr>
          <w:b/>
          <w:color w:val="auto"/>
          <w:lang w:val="en-US"/>
        </w:rPr>
        <w:t>ART. 15 (Extraordinary assembly)</w:t>
      </w:r>
    </w:p>
    <w:p>
      <w:pPr>
        <w:rPr>
          <w:color w:val="auto"/>
          <w:lang w:val="en-US"/>
        </w:rPr>
      </w:pPr>
      <w:r>
        <w:rPr>
          <w:color w:val="auto"/>
          <w:lang w:val="en-US"/>
        </w:rPr>
        <w:t>The extraordinary shareholders' meeting amending the articles of association with the presence of at least three fourth of the members and the vote in favor of the majority of those present and deliberates the dissolution and liquidation as well as the devolution of heritage with the favorable vote of at least three fourth of the members.</w:t>
      </w:r>
    </w:p>
    <w:p>
      <w:pPr>
        <w:rPr>
          <w:color w:val="auto"/>
          <w:lang w:val="en-US"/>
        </w:rPr>
      </w:pPr>
    </w:p>
    <w:p>
      <w:pPr>
        <w:jc w:val="center"/>
        <w:rPr>
          <w:b/>
          <w:color w:val="auto"/>
          <w:lang w:val="en-US"/>
        </w:rPr>
      </w:pPr>
      <w:r>
        <w:rPr>
          <w:b/>
          <w:color w:val="auto"/>
          <w:lang w:val="en-US"/>
        </w:rPr>
        <w:t>ART. 16 (Governing Board)</w:t>
      </w:r>
    </w:p>
    <w:p>
      <w:pPr>
        <w:rPr>
          <w:color w:val="auto"/>
          <w:lang w:val="en-US"/>
        </w:rPr>
      </w:pPr>
      <w:r>
        <w:rPr>
          <w:color w:val="auto"/>
          <w:lang w:val="en-US"/>
        </w:rPr>
        <w:t xml:space="preserve">The Governing Board is the governing body and administration of the association and operates in implementation of wills and General Assembly addresses to which reports directly and from which it can be revoked. </w:t>
      </w:r>
    </w:p>
    <w:p>
      <w:pPr>
        <w:rPr>
          <w:color w:val="auto"/>
          <w:lang w:val="en-US"/>
        </w:rPr>
      </w:pPr>
      <w:r>
        <w:rPr>
          <w:color w:val="auto"/>
          <w:lang w:val="en-US"/>
        </w:rPr>
        <w:t xml:space="preserve">The Governing Board is composed of an odd number of 3 members, elected by the assembly , for duration of 5 years and may be reappointed for three mandates. </w:t>
      </w:r>
    </w:p>
    <w:p>
      <w:pPr>
        <w:rPr>
          <w:color w:val="auto"/>
          <w:lang w:val="en-US"/>
        </w:rPr>
      </w:pPr>
      <w:r>
        <w:rPr>
          <w:color w:val="auto"/>
          <w:lang w:val="en-US"/>
        </w:rPr>
        <w:t xml:space="preserve">The Governing Board is validly constituted when the majority of members is present.    </w:t>
      </w:r>
    </w:p>
    <w:p>
      <w:pPr>
        <w:rPr>
          <w:color w:val="auto"/>
          <w:lang w:val="en-US"/>
        </w:rPr>
      </w:pPr>
      <w:r>
        <w:rPr>
          <w:color w:val="auto"/>
          <w:lang w:val="en-US"/>
        </w:rPr>
        <w:t xml:space="preserve">Deliberations are taken by majority of those present. </w:t>
      </w:r>
    </w:p>
    <w:p>
      <w:pPr>
        <w:rPr>
          <w:color w:val="auto"/>
          <w:lang w:val="en-US"/>
        </w:rPr>
      </w:pPr>
      <w:r>
        <w:rPr>
          <w:color w:val="auto"/>
          <w:lang w:val="en-US"/>
        </w:rPr>
        <w:t xml:space="preserve">The organization's president is the president of the Governing Board and is appointed by the assembly together with the other members of the Governing Board. </w:t>
      </w:r>
    </w:p>
    <w:p>
      <w:pPr>
        <w:rPr>
          <w:color w:val="auto"/>
          <w:lang w:val="en-US"/>
        </w:rPr>
      </w:pPr>
      <w:r>
        <w:rPr>
          <w:color w:val="auto"/>
          <w:lang w:val="en-US"/>
        </w:rPr>
        <w:t>The Governing Board shall elect from among its members the Vice President.</w:t>
      </w:r>
    </w:p>
    <w:p>
      <w:pPr>
        <w:rPr>
          <w:color w:val="auto"/>
          <w:lang w:val="en-US"/>
        </w:rPr>
      </w:pPr>
    </w:p>
    <w:p>
      <w:pPr>
        <w:rPr>
          <w:color w:val="auto"/>
          <w:lang w:val="en-US"/>
        </w:rPr>
      </w:pPr>
    </w:p>
    <w:p>
      <w:pPr>
        <w:jc w:val="center"/>
        <w:rPr>
          <w:b/>
          <w:color w:val="auto"/>
          <w:lang w:val="en-US"/>
        </w:rPr>
      </w:pPr>
      <w:r>
        <w:rPr>
          <w:b/>
          <w:color w:val="auto"/>
          <w:lang w:val="en-US"/>
        </w:rPr>
        <w:t>ART. 17 (President)</w:t>
      </w:r>
    </w:p>
    <w:p>
      <w:pPr>
        <w:rPr>
          <w:color w:val="auto"/>
          <w:lang w:val="en-US"/>
        </w:rPr>
      </w:pPr>
      <w:r>
        <w:rPr>
          <w:color w:val="auto"/>
          <w:lang w:val="en-US"/>
        </w:rPr>
        <w:t xml:space="preserve">The President legally represents the Association and performs all actions undertaken outward. </w:t>
      </w:r>
    </w:p>
    <w:p>
      <w:pPr>
        <w:rPr>
          <w:color w:val="auto"/>
          <w:lang w:val="en-US"/>
        </w:rPr>
      </w:pPr>
      <w:r>
        <w:rPr>
          <w:color w:val="auto"/>
          <w:lang w:val="en-US"/>
        </w:rPr>
        <w:t xml:space="preserve">The President is elected by the assembly from among its members by a majority of those present. </w:t>
      </w:r>
    </w:p>
    <w:p>
      <w:pPr>
        <w:rPr>
          <w:color w:val="auto"/>
          <w:lang w:val="en-US"/>
        </w:rPr>
      </w:pPr>
      <w:r>
        <w:rPr>
          <w:color w:val="auto"/>
          <w:lang w:val="en-US"/>
        </w:rPr>
        <w:t>The President remains in office as the Governing Board and shall end of his term, his resignation  or for any withdrawing decided by the assembly with 2/3 of those present.</w:t>
      </w:r>
    </w:p>
    <w:p>
      <w:pPr>
        <w:rPr>
          <w:color w:val="auto"/>
          <w:lang w:val="en-US"/>
        </w:rPr>
      </w:pPr>
      <w:r>
        <w:rPr>
          <w:color w:val="auto"/>
          <w:lang w:val="en-US"/>
        </w:rPr>
        <w:t xml:space="preserve"> At least one month before the expiry of the mandate of the Governing Board, the President convenes the Assembly  to elect the new President and the Governing Board. </w:t>
      </w:r>
    </w:p>
    <w:p>
      <w:pPr>
        <w:rPr>
          <w:color w:val="auto"/>
          <w:lang w:val="en-US"/>
        </w:rPr>
      </w:pPr>
      <w:r>
        <w:rPr>
          <w:color w:val="auto"/>
          <w:lang w:val="en-US"/>
        </w:rPr>
        <w:t xml:space="preserve">The President shall convene and chair the Assembly and the Governing Board, he conducts the ordinary administration on the basis of the directives, reporting to the Governing  Board about the activities accomplished. </w:t>
      </w:r>
    </w:p>
    <w:p>
      <w:pPr>
        <w:rPr>
          <w:color w:val="auto"/>
          <w:lang w:val="en-US"/>
        </w:rPr>
      </w:pPr>
      <w:r>
        <w:rPr>
          <w:color w:val="auto"/>
          <w:lang w:val="en-US"/>
        </w:rPr>
        <w:t>The Vice President replaces the President in all his attribution whenever this is prevented in the exercise of its functions.</w:t>
      </w:r>
    </w:p>
    <w:p>
      <w:pPr>
        <w:rPr>
          <w:color w:val="auto"/>
          <w:lang w:val="en-US"/>
        </w:rPr>
      </w:pPr>
      <w:bookmarkStart w:id="0" w:name="_GoBack"/>
      <w:bookmarkEnd w:id="0"/>
    </w:p>
    <w:p>
      <w:pPr>
        <w:jc w:val="center"/>
        <w:rPr>
          <w:b/>
          <w:color w:val="auto"/>
          <w:lang w:val="en-US"/>
        </w:rPr>
      </w:pPr>
      <w:r>
        <w:rPr>
          <w:b/>
          <w:color w:val="auto"/>
          <w:lang w:val="en-US"/>
        </w:rPr>
        <w:t>ART. 18 (Economic resources)</w:t>
      </w:r>
    </w:p>
    <w:p>
      <w:pPr>
        <w:rPr>
          <w:color w:val="auto"/>
          <w:lang w:val="en-US"/>
        </w:rPr>
      </w:pPr>
      <w:r>
        <w:rPr>
          <w:color w:val="auto"/>
          <w:lang w:val="en-US"/>
        </w:rPr>
        <w:t xml:space="preserve">The economic resources of Association consist of: </w:t>
      </w:r>
    </w:p>
    <w:p>
      <w:pPr>
        <w:pStyle w:val="17"/>
        <w:numPr>
          <w:ilvl w:val="1"/>
          <w:numId w:val="1"/>
        </w:numPr>
        <w:spacing w:line="240" w:lineRule="auto"/>
        <w:rPr>
          <w:color w:val="auto"/>
          <w:lang w:val="en-US"/>
        </w:rPr>
      </w:pPr>
      <w:r>
        <w:rPr>
          <w:color w:val="auto"/>
          <w:lang w:val="en-US"/>
        </w:rPr>
        <w:t xml:space="preserve">Contributions of members and / or private (individuals, companies, associations, foundations, committees ...) </w:t>
      </w:r>
    </w:p>
    <w:p>
      <w:pPr>
        <w:pStyle w:val="17"/>
        <w:numPr>
          <w:ilvl w:val="1"/>
          <w:numId w:val="1"/>
        </w:numPr>
        <w:spacing w:line="240" w:lineRule="auto"/>
        <w:rPr>
          <w:color w:val="auto"/>
          <w:lang w:val="en-US"/>
        </w:rPr>
      </w:pPr>
      <w:r>
        <w:rPr>
          <w:color w:val="auto"/>
          <w:lang w:val="en-US"/>
        </w:rPr>
        <w:t xml:space="preserve">State contributions to public bodies or institutions aimed solely at supporting specific and documented activities or projects; </w:t>
      </w:r>
    </w:p>
    <w:p>
      <w:pPr>
        <w:pStyle w:val="17"/>
        <w:numPr>
          <w:ilvl w:val="1"/>
          <w:numId w:val="1"/>
        </w:numPr>
        <w:spacing w:line="240" w:lineRule="auto"/>
        <w:rPr>
          <w:color w:val="auto"/>
          <w:lang w:val="en-US"/>
        </w:rPr>
      </w:pPr>
      <w:r>
        <w:rPr>
          <w:color w:val="auto"/>
          <w:lang w:val="en-US"/>
        </w:rPr>
        <w:t xml:space="preserve">Contributions to international organizations; </w:t>
      </w:r>
    </w:p>
    <w:p>
      <w:pPr>
        <w:pStyle w:val="17"/>
        <w:numPr>
          <w:ilvl w:val="1"/>
          <w:numId w:val="1"/>
        </w:numPr>
        <w:spacing w:line="240" w:lineRule="auto"/>
        <w:rPr>
          <w:color w:val="auto"/>
          <w:lang w:val="en-US"/>
        </w:rPr>
      </w:pPr>
      <w:r>
        <w:rPr>
          <w:color w:val="auto"/>
          <w:lang w:val="en-US"/>
        </w:rPr>
        <w:t xml:space="preserve">Donations and bequests; </w:t>
      </w:r>
    </w:p>
    <w:p>
      <w:pPr>
        <w:pStyle w:val="17"/>
        <w:numPr>
          <w:ilvl w:val="1"/>
          <w:numId w:val="1"/>
        </w:numPr>
        <w:spacing w:line="240" w:lineRule="auto"/>
        <w:rPr>
          <w:color w:val="auto"/>
          <w:lang w:val="en-US"/>
        </w:rPr>
      </w:pPr>
      <w:r>
        <w:rPr>
          <w:color w:val="auto"/>
          <w:lang w:val="en-US"/>
        </w:rPr>
        <w:t xml:space="preserve">Reimbursements from conventions; </w:t>
      </w:r>
    </w:p>
    <w:p>
      <w:pPr>
        <w:pStyle w:val="17"/>
        <w:numPr>
          <w:ilvl w:val="1"/>
          <w:numId w:val="1"/>
        </w:numPr>
        <w:spacing w:line="240" w:lineRule="auto"/>
        <w:rPr>
          <w:color w:val="auto"/>
          <w:lang w:val="en-US"/>
        </w:rPr>
      </w:pPr>
      <w:r>
        <w:rPr>
          <w:color w:val="auto"/>
          <w:lang w:val="en-US"/>
        </w:rPr>
        <w:t xml:space="preserve">Revenue from commercial activities and marginal production, to be included in a separate budget item. </w:t>
      </w:r>
    </w:p>
    <w:p>
      <w:pPr>
        <w:rPr>
          <w:color w:val="auto"/>
          <w:lang w:val="en-US"/>
        </w:rPr>
      </w:pPr>
    </w:p>
    <w:p>
      <w:pPr>
        <w:jc w:val="center"/>
        <w:rPr>
          <w:b/>
          <w:color w:val="auto"/>
          <w:lang w:val="en-US"/>
        </w:rPr>
      </w:pPr>
      <w:r>
        <w:rPr>
          <w:b/>
          <w:color w:val="auto"/>
          <w:lang w:val="en-US"/>
        </w:rPr>
        <w:t>ART. 19 (The goods)</w:t>
      </w:r>
    </w:p>
    <w:p>
      <w:pPr>
        <w:rPr>
          <w:color w:val="auto"/>
          <w:lang w:val="en-US"/>
        </w:rPr>
      </w:pPr>
      <w:r>
        <w:rPr>
          <w:color w:val="auto"/>
          <w:lang w:val="en-US"/>
        </w:rPr>
        <w:t xml:space="preserve">The association's assets are real estate, personal property and registered movable property. </w:t>
      </w:r>
    </w:p>
    <w:p>
      <w:pPr>
        <w:rPr>
          <w:color w:val="auto"/>
          <w:lang w:val="en-US"/>
        </w:rPr>
      </w:pPr>
      <w:r>
        <w:rPr>
          <w:color w:val="auto"/>
          <w:lang w:val="en-US"/>
        </w:rPr>
        <w:t xml:space="preserve">The property and assets recorded Furniture can be purchased by the organization, and are made payable to it. </w:t>
      </w:r>
    </w:p>
    <w:p>
      <w:pPr>
        <w:rPr>
          <w:color w:val="auto"/>
          <w:lang w:val="en-US"/>
        </w:rPr>
      </w:pPr>
      <w:r>
        <w:rPr>
          <w:color w:val="auto"/>
          <w:lang w:val="en-US"/>
        </w:rPr>
        <w:t xml:space="preserve">The immovable property, movable goods recorded, and assets that are placed in the organization's headquarters are listed in the inventory, which is deposited at the headquarters of the organization and can be consulted by members. </w:t>
      </w:r>
    </w:p>
    <w:p>
      <w:pPr>
        <w:rPr>
          <w:color w:val="auto"/>
          <w:lang w:val="en-US"/>
        </w:rPr>
      </w:pPr>
    </w:p>
    <w:p>
      <w:pPr>
        <w:jc w:val="center"/>
        <w:rPr>
          <w:b/>
          <w:color w:val="auto"/>
          <w:lang w:val="en-US"/>
        </w:rPr>
      </w:pPr>
      <w:r>
        <w:rPr>
          <w:b/>
          <w:color w:val="auto"/>
          <w:lang w:val="en-US"/>
        </w:rPr>
        <w:t>ART. 20 (Income from marginal activities)</w:t>
      </w:r>
    </w:p>
    <w:p>
      <w:pPr>
        <w:rPr>
          <w:color w:val="auto"/>
          <w:lang w:val="en-US"/>
        </w:rPr>
      </w:pPr>
      <w:r>
        <w:rPr>
          <w:color w:val="auto"/>
          <w:lang w:val="en-US"/>
        </w:rPr>
        <w:t xml:space="preserve">Income from commercial or marginal production activities are included in the appropriate budget heading of ' association; the Assembly may decide on the use of proceeds, which must still be in harmony with the statutory purposes of 'association and the principles of Law 266/91. </w:t>
      </w:r>
    </w:p>
    <w:p>
      <w:pPr>
        <w:rPr>
          <w:color w:val="auto"/>
          <w:lang w:val="en-US"/>
        </w:rPr>
      </w:pPr>
    </w:p>
    <w:p>
      <w:pPr>
        <w:jc w:val="center"/>
        <w:rPr>
          <w:b/>
          <w:color w:val="auto"/>
          <w:lang w:val="en-US"/>
        </w:rPr>
      </w:pPr>
      <w:r>
        <w:rPr>
          <w:b/>
          <w:color w:val="auto"/>
          <w:lang w:val="en-US"/>
        </w:rPr>
        <w:t>ART. 21 (Balance)</w:t>
      </w:r>
    </w:p>
    <w:p>
      <w:pPr>
        <w:rPr>
          <w:color w:val="auto"/>
          <w:lang w:val="en-US"/>
        </w:rPr>
      </w:pPr>
      <w:r>
        <w:rPr>
          <w:color w:val="auto"/>
          <w:lang w:val="en-US"/>
        </w:rPr>
        <w:t xml:space="preserve">The association's budget documents are annual and run from January 1 of each year. </w:t>
      </w:r>
    </w:p>
    <w:p>
      <w:pPr>
        <w:rPr>
          <w:color w:val="auto"/>
          <w:lang w:val="en-US"/>
        </w:rPr>
      </w:pPr>
      <w:r>
        <w:rPr>
          <w:color w:val="auto"/>
          <w:lang w:val="en-US"/>
        </w:rPr>
        <w:t xml:space="preserve">The final account contains all occurred revenue and expenses for the year elapsed. </w:t>
      </w:r>
    </w:p>
    <w:p>
      <w:pPr>
        <w:rPr>
          <w:color w:val="auto"/>
          <w:lang w:val="en-US"/>
        </w:rPr>
      </w:pPr>
    </w:p>
    <w:p>
      <w:pPr>
        <w:jc w:val="center"/>
        <w:rPr>
          <w:b/>
          <w:color w:val="auto"/>
          <w:lang w:val="en-US"/>
        </w:rPr>
      </w:pPr>
      <w:r>
        <w:rPr>
          <w:b/>
          <w:color w:val="auto"/>
          <w:lang w:val="en-US"/>
        </w:rPr>
        <w:t>ART. 22 (Conventions)</w:t>
      </w:r>
    </w:p>
    <w:p>
      <w:pPr>
        <w:rPr>
          <w:color w:val="auto"/>
        </w:rPr>
      </w:pPr>
      <w:r>
        <w:rPr>
          <w:color w:val="auto"/>
          <w:lang w:val="en-US"/>
        </w:rPr>
        <w:t xml:space="preserve">The agreements between the voluntary association and other organizations and individuals are decided by the Board that also it determines how to implement, and shall be signed by the President of the association, which his </w:t>
      </w:r>
      <w:r>
        <w:rPr>
          <w:color w:val="auto"/>
          <w:lang w:val="it-IT"/>
        </w:rPr>
        <w:t>its legal representative.</w:t>
      </w:r>
    </w:p>
    <w:p>
      <w:pPr>
        <w:rPr>
          <w:color w:val="auto"/>
          <w:lang w:val="en-US"/>
        </w:rPr>
      </w:pPr>
      <w:r>
        <w:rPr>
          <w:color w:val="auto"/>
          <w:lang w:val="en-US"/>
        </w:rPr>
        <w:t xml:space="preserve">Copy of each agreement is kept, by the President, at the headquarters of 'association. </w:t>
      </w:r>
    </w:p>
    <w:p>
      <w:pPr>
        <w:rPr>
          <w:color w:val="auto"/>
          <w:lang w:val="en-US"/>
        </w:rPr>
      </w:pPr>
    </w:p>
    <w:p>
      <w:pPr>
        <w:jc w:val="center"/>
        <w:rPr>
          <w:b/>
          <w:color w:val="auto"/>
          <w:lang w:val="en-US"/>
        </w:rPr>
      </w:pPr>
      <w:r>
        <w:rPr>
          <w:b/>
          <w:color w:val="auto"/>
          <w:lang w:val="en-US"/>
        </w:rPr>
        <w:t>ART. 23 (Final Provisions)</w:t>
      </w:r>
    </w:p>
    <w:p>
      <w:pPr>
        <w:rPr>
          <w:color w:val="auto"/>
        </w:rPr>
      </w:pPr>
      <w:r>
        <w:rPr>
          <w:color w:val="auto"/>
          <w:lang w:val="en-US"/>
        </w:rPr>
        <w:t xml:space="preserve">For matters not covered by this statute, it refers to the existing regulations and principles General on the legal system. </w:t>
      </w:r>
    </w:p>
    <w:sectPr>
      <w:footerReference r:id="rId3" w:type="default"/>
      <w:pgSz w:w="11906" w:h="16838"/>
      <w:pgMar w:top="851" w:right="1134" w:bottom="1134" w:left="1134" w:header="0" w:footer="283" w:gutter="0"/>
      <w:pgNumType w:fmt="decimal"/>
      <w:formProt w:val="0"/>
      <w:docGrid w:linePitch="360" w:charSpace="-20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Cambria">
    <w:panose1 w:val="02040503050406030204"/>
    <w:charset w:val="00"/>
    <w:family w:val="roman"/>
    <w:pitch w:val="default"/>
    <w:sig w:usb0="E00002FF" w:usb1="400004FF" w:usb2="00000000" w:usb3="00000000" w:csb0="2000019F" w:csb1="00000000"/>
  </w:font>
  <w:font w:name="Calibri">
    <w:panose1 w:val="020F0502020204030204"/>
    <w:charset w:val="86"/>
    <w:family w:val="swiss"/>
    <w:pitch w:val="default"/>
    <w:sig w:usb0="E00002FF" w:usb1="4000ACFF" w:usb2="00000001" w:usb3="00000000" w:csb0="2000019F" w:csb1="00000000"/>
  </w:font>
  <w:font w:name="Symbol">
    <w:panose1 w:val="05050102010706020507"/>
    <w:charset w:val="02"/>
    <w:family w:val="roman"/>
    <w:pitch w:val="default"/>
    <w:sig w:usb0="00000000" w:usb1="00000000" w:usb2="00000000" w:usb3="00000000" w:csb0="80000000" w:csb1="00000000"/>
  </w:font>
  <w:font w:name="Liberation Serif">
    <w:altName w:val="Times New Roman"/>
    <w:panose1 w:val="00000000000000000000"/>
    <w:charset w:val="00"/>
    <w:family w:val="roman"/>
    <w:pitch w:val="default"/>
    <w:sig w:usb0="00000000" w:usb1="00000000" w:usb2="00000000" w:usb3="00000000" w:csb0="00000000" w:csb1="00000000"/>
  </w:font>
  <w:font w:name="Tahoma">
    <w:panose1 w:val="020B0604030504040204"/>
    <w:charset w:val="00"/>
    <w:family w:val="roman"/>
    <w:pitch w:val="default"/>
    <w:sig w:usb0="E1002EFF" w:usb1="C000605B" w:usb2="00000029" w:usb3="00000000" w:csb0="200101FF" w:csb1="20280000"/>
  </w:font>
  <w:font w:name="Liberation Sans">
    <w:altName w:val="Arial"/>
    <w:panose1 w:val="00000000000000000000"/>
    <w:charset w:val="00"/>
    <w:family w:val="swiss"/>
    <w:pitch w:val="default"/>
    <w:sig w:usb0="00000000" w:usb1="00000000" w:usb2="00000000" w:usb3="00000000" w:csb0="00000000" w:csb1="00000000"/>
  </w:font>
  <w:font w:name="Calibri">
    <w:panose1 w:val="020F0502020204030204"/>
    <w:charset w:val="01"/>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Microsoft YaHei">
    <w:panose1 w:val="020B0503020204020204"/>
    <w:charset w:val="86"/>
    <w:family w:val="auto"/>
    <w:pitch w:val="default"/>
    <w:sig w:usb0="A0000287" w:usb1="28CF3C52" w:usb2="00000016" w:usb3="00000000" w:csb0="0004001F" w:csb1="00000000"/>
  </w:font>
  <w:font w:name="Mangal">
    <w:panose1 w:val="02040503050203030202"/>
    <w:charset w:val="00"/>
    <w:family w:val="auto"/>
    <w:pitch w:val="default"/>
    <w:sig w:usb0="00008003"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72358214"/>
    </w:sdtPr>
    <w:sdtContent>
      <w:p>
        <w:pPr>
          <w:pStyle w:val="9"/>
          <w:jc w:val="center"/>
        </w:pPr>
        <w:r>
          <w:fldChar w:fldCharType="begin"/>
        </w:r>
        <w:r>
          <w:instrText xml:space="preserve">PAGE</w:instrText>
        </w:r>
        <w:r>
          <w:fldChar w:fldCharType="separate"/>
        </w:r>
        <w:r>
          <w:t>7</w:t>
        </w:r>
        <w:r>
          <w:fldChar w:fldCharType="end"/>
        </w:r>
      </w:p>
    </w:sdtContent>
  </w:sdt>
  <w:p>
    <w:pPr>
      <w:pStyle w:val="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126B6D"/>
    <w:multiLevelType w:val="multilevel"/>
    <w:tmpl w:val="58126B6D"/>
    <w:lvl w:ilvl="0" w:tentative="0">
      <w:start w:val="1"/>
      <w:numFmt w:val="decimal"/>
      <w:lvlText w:val="%1)"/>
      <w:lvlJc w:val="left"/>
      <w:pPr>
        <w:ind w:left="720" w:hanging="360"/>
      </w:pPr>
    </w:lvl>
    <w:lvl w:ilvl="1" w:tentative="0">
      <w:start w:val="5"/>
      <w:numFmt w:val="bullet"/>
      <w:lvlText w:val="•"/>
      <w:lvlJc w:val="left"/>
      <w:pPr>
        <w:ind w:left="1440" w:hanging="360"/>
      </w:pPr>
      <w:rPr>
        <w:rFonts w:hint="default" w:ascii="Calibri" w:hAnsi="Calibri" w:cs="Calibri"/>
      </w:r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ocumentProtection w:enforcement="0"/>
  <w:defaultTabStop w:val="708"/>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3BC85717"/>
  </w:rsids>
  <w:themeFontLang w:val="it-IT" w:eastAsia="zh-CN" w:bidi="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suppressAutoHyphens/>
      <w:bidi w:val="0"/>
      <w:spacing w:before="0" w:after="200" w:line="276" w:lineRule="auto"/>
      <w:jc w:val="left"/>
    </w:pPr>
    <w:rPr>
      <w:rFonts w:asciiTheme="minorHAnsi" w:hAnsiTheme="minorHAnsi" w:eastAsiaTheme="minorHAnsi" w:cstheme="minorBidi"/>
      <w:color w:val="auto"/>
      <w:sz w:val="22"/>
      <w:szCs w:val="22"/>
      <w:lang w:val="it-IT" w:eastAsia="en-US" w:bidi="ar-SA"/>
    </w:rPr>
  </w:style>
  <w:style w:type="character" w:default="1" w:styleId="3">
    <w:name w:val="Default Paragraph Font"/>
    <w:unhideWhenUsed/>
    <w:qFormat/>
    <w:uiPriority w:val="1"/>
  </w:style>
  <w:style w:type="table" w:default="1" w:styleId="4">
    <w:name w:val="Normal Table"/>
    <w:unhideWhenUsed/>
    <w:uiPriority w:val="99"/>
    <w:tblPr>
      <w:tblLayout w:type="fixed"/>
      <w:tblCellMar>
        <w:top w:w="0" w:type="dxa"/>
        <w:left w:w="108" w:type="dxa"/>
        <w:bottom w:w="0" w:type="dxa"/>
        <w:right w:w="108" w:type="dxa"/>
      </w:tblCellMar>
    </w:tblPr>
  </w:style>
  <w:style w:type="paragraph" w:styleId="2">
    <w:name w:val="Balloon Text"/>
    <w:basedOn w:val="1"/>
    <w:link w:val="5"/>
    <w:unhideWhenUsed/>
    <w:qFormat/>
    <w:uiPriority w:val="99"/>
    <w:pPr>
      <w:spacing w:before="0" w:after="0" w:line="240" w:lineRule="auto"/>
    </w:pPr>
    <w:rPr>
      <w:rFonts w:ascii="Tahoma" w:hAnsi="Tahoma" w:cs="Tahoma"/>
      <w:sz w:val="16"/>
      <w:szCs w:val="16"/>
    </w:rPr>
  </w:style>
  <w:style w:type="character" w:customStyle="1" w:styleId="5">
    <w:name w:val="Testo fumetto Carattere"/>
    <w:basedOn w:val="3"/>
    <w:link w:val="2"/>
    <w:semiHidden/>
    <w:qFormat/>
    <w:uiPriority w:val="99"/>
    <w:rPr>
      <w:rFonts w:ascii="Tahoma" w:hAnsi="Tahoma" w:cs="Tahoma"/>
      <w:sz w:val="16"/>
      <w:szCs w:val="16"/>
    </w:rPr>
  </w:style>
  <w:style w:type="character" w:customStyle="1" w:styleId="6">
    <w:name w:val="Intestazione Carattere"/>
    <w:basedOn w:val="3"/>
    <w:link w:val="7"/>
    <w:qFormat/>
    <w:uiPriority w:val="99"/>
  </w:style>
  <w:style w:type="paragraph" w:customStyle="1" w:styleId="7">
    <w:name w:val="Intestazione"/>
    <w:basedOn w:val="1"/>
    <w:link w:val="6"/>
    <w:unhideWhenUsed/>
    <w:uiPriority w:val="99"/>
    <w:pPr>
      <w:tabs>
        <w:tab w:val="center" w:pos="4819"/>
        <w:tab w:val="right" w:pos="9638"/>
      </w:tabs>
      <w:spacing w:before="0" w:after="0" w:line="240" w:lineRule="auto"/>
    </w:pPr>
  </w:style>
  <w:style w:type="character" w:customStyle="1" w:styleId="8">
    <w:name w:val="Piè di pagina Carattere"/>
    <w:basedOn w:val="3"/>
    <w:link w:val="9"/>
    <w:qFormat/>
    <w:uiPriority w:val="99"/>
  </w:style>
  <w:style w:type="paragraph" w:customStyle="1" w:styleId="9">
    <w:name w:val="Piè di pagina"/>
    <w:basedOn w:val="1"/>
    <w:link w:val="8"/>
    <w:unhideWhenUsed/>
    <w:uiPriority w:val="99"/>
    <w:pPr>
      <w:tabs>
        <w:tab w:val="center" w:pos="4819"/>
        <w:tab w:val="right" w:pos="9638"/>
      </w:tabs>
      <w:spacing w:before="0" w:after="0" w:line="240" w:lineRule="auto"/>
    </w:pPr>
  </w:style>
  <w:style w:type="character" w:customStyle="1" w:styleId="10">
    <w:name w:val="ListLabel 1"/>
    <w:qFormat/>
    <w:uiPriority w:val="0"/>
    <w:rPr>
      <w:rFonts w:eastAsia="Calibri"/>
    </w:rPr>
  </w:style>
  <w:style w:type="character" w:customStyle="1" w:styleId="11">
    <w:name w:val="ListLabel 2"/>
    <w:qFormat/>
    <w:uiPriority w:val="0"/>
    <w:rPr>
      <w:rFonts w:cs="Courier New"/>
    </w:rPr>
  </w:style>
  <w:style w:type="paragraph" w:customStyle="1" w:styleId="12">
    <w:name w:val="Titolo"/>
    <w:basedOn w:val="1"/>
    <w:next w:val="13"/>
    <w:qFormat/>
    <w:uiPriority w:val="0"/>
    <w:pPr>
      <w:keepNext/>
      <w:spacing w:before="240" w:after="120"/>
    </w:pPr>
    <w:rPr>
      <w:rFonts w:ascii="Liberation Sans" w:hAnsi="Liberation Sans" w:eastAsia="Microsoft YaHei" w:cs="Mangal"/>
      <w:sz w:val="28"/>
      <w:szCs w:val="28"/>
    </w:rPr>
  </w:style>
  <w:style w:type="paragraph" w:customStyle="1" w:styleId="13">
    <w:name w:val="Corpo del testo"/>
    <w:basedOn w:val="1"/>
    <w:uiPriority w:val="0"/>
    <w:pPr>
      <w:spacing w:before="0" w:after="140" w:line="288" w:lineRule="auto"/>
    </w:pPr>
  </w:style>
  <w:style w:type="paragraph" w:customStyle="1" w:styleId="14">
    <w:name w:val="Elenco"/>
    <w:basedOn w:val="13"/>
    <w:uiPriority w:val="0"/>
    <w:rPr>
      <w:rFonts w:cs="Mangal"/>
    </w:rPr>
  </w:style>
  <w:style w:type="paragraph" w:customStyle="1" w:styleId="15">
    <w:name w:val="Didascalia"/>
    <w:basedOn w:val="1"/>
    <w:uiPriority w:val="0"/>
    <w:pPr>
      <w:suppressLineNumbers/>
      <w:spacing w:before="120" w:after="120"/>
    </w:pPr>
    <w:rPr>
      <w:rFonts w:cs="Mangal"/>
      <w:i/>
      <w:iCs/>
      <w:sz w:val="24"/>
      <w:szCs w:val="24"/>
    </w:rPr>
  </w:style>
  <w:style w:type="paragraph" w:customStyle="1" w:styleId="16">
    <w:name w:val="Indice"/>
    <w:basedOn w:val="1"/>
    <w:qFormat/>
    <w:uiPriority w:val="0"/>
    <w:pPr>
      <w:suppressLineNumbers/>
    </w:pPr>
    <w:rPr>
      <w:rFonts w:cs="Mangal"/>
    </w:rPr>
  </w:style>
  <w:style w:type="paragraph" w:customStyle="1" w:styleId="17">
    <w:name w:val="List Paragraph"/>
    <w:basedOn w:val="1"/>
    <w:qFormat/>
    <w:uiPriority w:val="34"/>
    <w:pPr>
      <w:spacing w:before="0" w:after="200"/>
      <w:ind w:left="720" w:firstLine="0"/>
      <w:contextualSpacing/>
    </w:p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1.emf"/><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0</Pages>
  <Words>0</Words>
  <Characters>0</Characters>
  <Lines>0</Lines>
  <Paragraphs>118</Paragraphs>
  <TotalTime>0</TotalTime>
  <ScaleCrop>false</ScaleCrop>
  <LinksUpToDate>false</LinksUpToDate>
  <CharactersWithSpaces>0</CharactersWithSpaces>
  <Application>WPS Office_10.1.0.5783_F1E327BC-269C-435d-A152-05C5408002CA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2016-09-24T13:47:00Z</dcterms:created>
  <dc:creator>so</dc:creator>
  <cp:lastModifiedBy>MarcoValerio</cp:lastModifiedBy>
  <dcterms:modified xsi:type="dcterms:W3CDTF">2016-10-27T21:04:34Z</dcterms:modified>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KSOProductBuildVer">
    <vt:lpwstr>1033-10.1.0.5783</vt:lpwstr>
  </property>
</Properties>
</file>