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120"/>
        <w:jc w:val="center"/>
      </w:pPr>
      <w:r>
        <w:rPr>
          <w:b/>
          <w:bCs/>
          <w:sz w:val="28"/>
          <w:szCs w:val="28"/>
        </w:rPr>
        <w:t xml:space="preserve">PARTNER IDENTIFICATION FORM (PIF)</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rPr>
          <w:tblHeader/>
        </w:trPr>
        <w:tc>
          <w:tcPr>
            <w:tcW w:type="dxa" w:w="9360"/>
            <w:gridSpan w:val="2"/>
            <w:tcBorders>
              <w:top w:val="single" w:color="000000" w:sz="4"/>
              <w:left w:val="single" w:color="000000" w:sz="4"/>
              <w:bottom w:val="single" w:color="000000" w:sz="4"/>
              <w:right w:val="single" w:color="000000" w:sz="4"/>
            </w:tcBorders>
            <w:shd w:fill="D9D9D9" w:color="auto" w:val="clear"/>
            <w:tcMar>
              <w:top w:type="dxa" w:w="100"/>
              <w:left w:type="dxa" w:w="140"/>
              <w:bottom w:type="dxa" w:w="100"/>
              <w:right w:type="dxa" w:w="140"/>
            </w:tcMar>
          </w:tcPr>
          <w:p>
            <w:pPr>
              <w:jc w:val="left"/>
            </w:pPr>
            <w:r>
              <w:rPr>
                <w:b/>
                <w:bCs/>
                <w:sz w:val="22"/>
                <w:szCs w:val="22"/>
              </w:rPr>
              <w:t xml:space="preserve">Partner organization</w:t>
            </w:r>
          </w:p>
        </w:tc>
      </w:tr>
      <w:tr>
        <w:tc>
          <w:tcPr>
            <w:tcW w:type="dxa" w:w="3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OID</w:t>
            </w:r>
          </w:p>
        </w:tc>
        <w:tc>
          <w:tcPr>
            <w:tcW w:type="dxa" w:w="576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bCs/>
                <w:i w:val="false"/>
                <w:iCs w:val="false"/>
                <w:color w:val="000000"/>
                <w:sz w:val="22"/>
                <w:szCs w:val="22"/>
              </w:rPr>
              <w:t xml:space="preserve">E10436164</w:t>
            </w:r>
          </w:p>
        </w:tc>
      </w:tr>
      <w:tr>
        <w:tc>
          <w:tcPr>
            <w:tcW w:type="dxa" w:w="3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Full legal name (National language)</w:t>
            </w:r>
          </w:p>
        </w:tc>
        <w:tc>
          <w:tcPr>
            <w:tcW w:type="dxa" w:w="576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Inception</w:t>
            </w:r>
          </w:p>
        </w:tc>
      </w:tr>
      <w:tr>
        <w:tc>
          <w:tcPr>
            <w:tcW w:type="dxa" w:w="3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Full legal name (Latin characters)</w:t>
            </w:r>
          </w:p>
        </w:tc>
        <w:tc>
          <w:tcPr>
            <w:tcW w:type="dxa" w:w="576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INCEPTION</w:t>
            </w:r>
          </w:p>
        </w:tc>
      </w:tr>
      <w:tr>
        <w:tc>
          <w:tcPr>
            <w:tcW w:type="dxa" w:w="3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Acronym</w:t>
            </w:r>
          </w:p>
        </w:tc>
        <w:tc>
          <w:tcPr>
            <w:tcW w:type="dxa" w:w="576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iCs/>
                <w:color w:val="808080"/>
                <w:sz w:val="22"/>
                <w:szCs w:val="22"/>
              </w:rPr>
              <w:t xml:space="preserve">[ Doldurulacak ]</w:t>
            </w:r>
          </w:p>
        </w:tc>
      </w:tr>
      <w:tr>
        <w:tc>
          <w:tcPr>
            <w:tcW w:type="dxa" w:w="3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National ID number (if applicable)</w:t>
            </w:r>
          </w:p>
        </w:tc>
        <w:tc>
          <w:tcPr>
            <w:tcW w:type="dxa" w:w="576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w:t>
            </w:r>
          </w:p>
        </w:tc>
      </w:tr>
      <w:tr>
        <w:tc>
          <w:tcPr>
            <w:tcW w:type="dxa" w:w="3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Department (if applicable)</w:t>
            </w:r>
          </w:p>
        </w:tc>
        <w:tc>
          <w:tcPr>
            <w:tcW w:type="dxa" w:w="576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w:t>
            </w:r>
          </w:p>
        </w:tc>
      </w:tr>
      <w:tr>
        <w:tc>
          <w:tcPr>
            <w:tcW w:type="dxa" w:w="3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Address</w:t>
            </w:r>
          </w:p>
        </w:tc>
        <w:tc>
          <w:tcPr>
            <w:tcW w:type="dxa" w:w="576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Adnan Kahveci Mah. Çankaya Cd. No:13, Kamelya Apt. Kat:14 D:63, Beylikdüzü</w:t>
            </w:r>
          </w:p>
        </w:tc>
      </w:tr>
      <w:tr>
        <w:tc>
          <w:tcPr>
            <w:tcW w:type="dxa" w:w="3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Country</w:t>
            </w:r>
          </w:p>
        </w:tc>
        <w:tc>
          <w:tcPr>
            <w:tcW w:type="dxa" w:w="576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Türkiye</w:t>
            </w:r>
          </w:p>
        </w:tc>
      </w:tr>
      <w:tr>
        <w:tc>
          <w:tcPr>
            <w:tcW w:type="dxa" w:w="3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Region</w:t>
            </w:r>
          </w:p>
        </w:tc>
        <w:tc>
          <w:tcPr>
            <w:tcW w:type="dxa" w:w="576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Marmara</w:t>
            </w:r>
          </w:p>
        </w:tc>
      </w:tr>
      <w:tr>
        <w:tc>
          <w:tcPr>
            <w:tcW w:type="dxa" w:w="3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P.O. Box</w:t>
            </w:r>
          </w:p>
        </w:tc>
        <w:tc>
          <w:tcPr>
            <w:tcW w:type="dxa" w:w="576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w:t>
            </w:r>
          </w:p>
        </w:tc>
      </w:tr>
      <w:tr>
        <w:tc>
          <w:tcPr>
            <w:tcW w:type="dxa" w:w="3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Post Code</w:t>
            </w:r>
          </w:p>
        </w:tc>
        <w:tc>
          <w:tcPr>
            <w:tcW w:type="dxa" w:w="576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34520</w:t>
            </w:r>
          </w:p>
        </w:tc>
      </w:tr>
      <w:tr>
        <w:tc>
          <w:tcPr>
            <w:tcW w:type="dxa" w:w="3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CEDEX (Only for France)</w:t>
            </w:r>
          </w:p>
        </w:tc>
        <w:tc>
          <w:tcPr>
            <w:tcW w:type="dxa" w:w="576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w:t>
            </w:r>
          </w:p>
        </w:tc>
      </w:tr>
      <w:tr>
        <w:tc>
          <w:tcPr>
            <w:tcW w:type="dxa" w:w="3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City</w:t>
            </w:r>
          </w:p>
        </w:tc>
        <w:tc>
          <w:tcPr>
            <w:tcW w:type="dxa" w:w="576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İSTANBUL</w:t>
            </w:r>
          </w:p>
        </w:tc>
      </w:tr>
      <w:tr>
        <w:tc>
          <w:tcPr>
            <w:tcW w:type="dxa" w:w="3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Webpage</w:t>
            </w:r>
          </w:p>
        </w:tc>
        <w:tc>
          <w:tcPr>
            <w:tcW w:type="dxa" w:w="576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iCs/>
                <w:color w:val="808080"/>
                <w:sz w:val="22"/>
                <w:szCs w:val="22"/>
              </w:rPr>
              <w:t xml:space="preserve">[ Doldurulacak ]</w:t>
            </w:r>
          </w:p>
        </w:tc>
      </w:tr>
      <w:tr>
        <w:tc>
          <w:tcPr>
            <w:tcW w:type="dxa" w:w="3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Email</w:t>
            </w:r>
          </w:p>
        </w:tc>
        <w:tc>
          <w:tcPr>
            <w:tcW w:type="dxa" w:w="576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inceptionyouthgroup@gmail.com</w:t>
            </w:r>
          </w:p>
        </w:tc>
      </w:tr>
      <w:tr>
        <w:tc>
          <w:tcPr>
            <w:tcW w:type="dxa" w:w="3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Telephone 1</w:t>
            </w:r>
          </w:p>
        </w:tc>
        <w:tc>
          <w:tcPr>
            <w:tcW w:type="dxa" w:w="576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+90 530 645 5432</w:t>
            </w:r>
          </w:p>
        </w:tc>
      </w:tr>
      <w:tr>
        <w:tc>
          <w:tcPr>
            <w:tcW w:type="dxa" w:w="3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Telephone 2</w:t>
            </w:r>
          </w:p>
        </w:tc>
        <w:tc>
          <w:tcPr>
            <w:tcW w:type="dxa" w:w="576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w:t>
            </w:r>
          </w:p>
        </w:tc>
      </w:tr>
      <w:tr>
        <w:tc>
          <w:tcPr>
            <w:tcW w:type="dxa" w:w="3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Fax</w:t>
            </w:r>
          </w:p>
        </w:tc>
        <w:tc>
          <w:tcPr>
            <w:tcW w:type="dxa" w:w="576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w:t>
            </w:r>
          </w:p>
        </w:tc>
      </w:tr>
      <w:tr>
        <w:trPr>
          <w:tblHeader/>
        </w:trPr>
        <w:tc>
          <w:tcPr>
            <w:tcW w:type="dxa" w:w="9360"/>
            <w:gridSpan w:val="2"/>
            <w:tcBorders>
              <w:top w:val="single" w:color="000000" w:sz="4"/>
              <w:left w:val="single" w:color="000000" w:sz="4"/>
              <w:bottom w:val="single" w:color="000000" w:sz="4"/>
              <w:right w:val="single" w:color="000000" w:sz="4"/>
            </w:tcBorders>
            <w:shd w:fill="D9D9D9" w:color="auto" w:val="clear"/>
            <w:tcMar>
              <w:top w:type="dxa" w:w="100"/>
              <w:left w:type="dxa" w:w="140"/>
              <w:bottom w:type="dxa" w:w="100"/>
              <w:right w:type="dxa" w:w="140"/>
            </w:tcMar>
          </w:tcPr>
          <w:p>
            <w:pPr>
              <w:jc w:val="left"/>
            </w:pPr>
            <w:r>
              <w:rPr>
                <w:b/>
                <w:bCs/>
                <w:sz w:val="22"/>
                <w:szCs w:val="22"/>
              </w:rPr>
              <w:t xml:space="preserve">Profile</w:t>
            </w:r>
          </w:p>
        </w:tc>
      </w:tr>
      <w:tr>
        <w:tc>
          <w:tcPr>
            <w:tcW w:type="dxa" w:w="3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Type of organization</w:t>
            </w:r>
          </w:p>
        </w:tc>
        <w:tc>
          <w:tcPr>
            <w:tcW w:type="dxa" w:w="576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Informal Group of Young People</w:t>
            </w:r>
          </w:p>
        </w:tc>
      </w:tr>
      <w:tr>
        <w:tc>
          <w:tcPr>
            <w:tcW w:type="dxa" w:w="3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Is the partner organization a public body?</w:t>
            </w:r>
          </w:p>
        </w:tc>
        <w:tc>
          <w:tcPr>
            <w:tcW w:type="dxa" w:w="576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no</w:t>
            </w:r>
          </w:p>
        </w:tc>
      </w:tr>
      <w:tr>
        <w:tc>
          <w:tcPr>
            <w:tcW w:type="dxa" w:w="3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Is the partner organization a non-profit?</w:t>
            </w:r>
          </w:p>
        </w:tc>
        <w:tc>
          <w:tcPr>
            <w:tcW w:type="dxa" w:w="576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yes</w:t>
            </w:r>
          </w:p>
        </w:tc>
      </w:tr>
    </w:tbl>
    <w:p>
      <w:pPr>
        <w:spacing w:after="12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9360"/>
            <w:gridSpan w:val="2"/>
            <w:tcBorders>
              <w:top w:val="single" w:color="000000" w:sz="4"/>
              <w:left w:val="single" w:color="000000" w:sz="4"/>
              <w:bottom w:val="single" w:color="000000" w:sz="4"/>
              <w:right w:val="single" w:color="000000" w:sz="4"/>
            </w:tcBorders>
            <w:shd w:fill="D9D9D9" w:color="auto" w:val="clear"/>
            <w:tcMar>
              <w:top w:type="dxa" w:w="100"/>
              <w:left w:type="dxa" w:w="140"/>
              <w:bottom w:type="dxa" w:w="100"/>
              <w:right w:type="dxa" w:w="140"/>
            </w:tcMar>
          </w:tcPr>
          <w:p>
            <w:pPr>
              <w:jc w:val="left"/>
            </w:pPr>
            <w:r>
              <w:rPr>
                <w:b/>
                <w:bCs/>
                <w:sz w:val="22"/>
                <w:szCs w:val="22"/>
              </w:rPr>
              <w:t xml:space="preserve">Accreditation</w:t>
            </w:r>
          </w:p>
        </w:tc>
      </w:tr>
      <w:tr>
        <w:tc>
          <w:tcPr>
            <w:tcW w:type="dxa" w:w="9360"/>
            <w:gridSpan w:val="2"/>
            <w:tcBorders>
              <w:top w:val="single" w:color="000000" w:sz="4"/>
              <w:left w:val="single" w:color="000000" w:sz="4"/>
              <w:bottom w:val="single" w:color="000000" w:sz="4"/>
              <w:right w:val="single" w:color="000000" w:sz="4"/>
            </w:tcBorders>
            <w:tcMar>
              <w:top w:type="dxa" w:w="80"/>
              <w:left w:type="dxa" w:w="120"/>
              <w:bottom w:type="dxa" w:w="80"/>
              <w:right w:type="dxa" w:w="120"/>
            </w:tcMar>
          </w:tcPr>
          <w:p>
            <w:r>
              <w:rPr>
                <w:sz w:val="22"/>
                <w:szCs w:val="22"/>
              </w:rPr>
              <w:t xml:space="preserve">Has the organization received any type of accreditation before submitting this application?</w:t>
            </w:r>
          </w:p>
        </w:tc>
      </w:tr>
      <w:tr>
        <w:tc>
          <w:tcPr>
            <w:tcW w:type="dxa" w:w="468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bCs/>
                <w:i w:val="false"/>
                <w:iCs w:val="false"/>
                <w:color w:val="000000"/>
                <w:sz w:val="22"/>
                <w:szCs w:val="22"/>
              </w:rPr>
              <w:t xml:space="preserve">Accreditation Type</w:t>
            </w:r>
          </w:p>
        </w:tc>
        <w:tc>
          <w:tcPr>
            <w:tcW w:type="dxa" w:w="468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bCs/>
                <w:i w:val="false"/>
                <w:iCs w:val="false"/>
                <w:color w:val="000000"/>
                <w:sz w:val="22"/>
                <w:szCs w:val="22"/>
              </w:rPr>
              <w:t xml:space="preserve">Accreditation Reference</w:t>
            </w:r>
          </w:p>
        </w:tc>
      </w:tr>
      <w:tr>
        <w:tc>
          <w:tcPr>
            <w:tcW w:type="dxa" w:w="468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None</w:t>
            </w:r>
          </w:p>
        </w:tc>
        <w:tc>
          <w:tcPr>
            <w:tcW w:type="dxa" w:w="468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w:t>
            </w:r>
          </w:p>
        </w:tc>
      </w:tr>
    </w:tbl>
    <w:p>
      <w:pPr>
        <w:spacing w:after="12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rPr>
          <w:tblHeader/>
        </w:trPr>
        <w:tc>
          <w:tcPr>
            <w:tcW w:type="dxa" w:w="9360"/>
            <w:gridSpan w:val="2"/>
            <w:tcBorders>
              <w:top w:val="single" w:color="000000" w:sz="4"/>
              <w:left w:val="single" w:color="000000" w:sz="4"/>
              <w:bottom w:val="single" w:color="000000" w:sz="4"/>
              <w:right w:val="single" w:color="000000" w:sz="4"/>
            </w:tcBorders>
            <w:shd w:fill="D9D9D9" w:color="auto" w:val="clear"/>
            <w:tcMar>
              <w:top w:type="dxa" w:w="100"/>
              <w:left w:type="dxa" w:w="140"/>
              <w:bottom w:type="dxa" w:w="100"/>
              <w:right w:type="dxa" w:w="140"/>
            </w:tcMar>
          </w:tcPr>
          <w:p>
            <w:pPr>
              <w:jc w:val="left"/>
            </w:pPr>
            <w:r>
              <w:rPr>
                <w:b/>
                <w:bCs/>
                <w:sz w:val="22"/>
                <w:szCs w:val="22"/>
              </w:rPr>
              <w:t xml:space="preserve">Legal representative</w:t>
            </w:r>
          </w:p>
        </w:tc>
      </w:tr>
      <w:tr>
        <w:tc>
          <w:tcPr>
            <w:tcW w:type="dxa" w:w="3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Title</w:t>
            </w:r>
          </w:p>
        </w:tc>
        <w:tc>
          <w:tcPr>
            <w:tcW w:type="dxa" w:w="576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Mr.</w:t>
            </w:r>
          </w:p>
        </w:tc>
      </w:tr>
      <w:tr>
        <w:tc>
          <w:tcPr>
            <w:tcW w:type="dxa" w:w="3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Gender</w:t>
            </w:r>
          </w:p>
        </w:tc>
        <w:tc>
          <w:tcPr>
            <w:tcW w:type="dxa" w:w="576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Male</w:t>
            </w:r>
          </w:p>
        </w:tc>
      </w:tr>
      <w:tr>
        <w:tc>
          <w:tcPr>
            <w:tcW w:type="dxa" w:w="3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First name</w:t>
            </w:r>
          </w:p>
        </w:tc>
        <w:tc>
          <w:tcPr>
            <w:tcW w:type="dxa" w:w="576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ORUÇ BORA</w:t>
            </w:r>
          </w:p>
        </w:tc>
      </w:tr>
      <w:tr>
        <w:tc>
          <w:tcPr>
            <w:tcW w:type="dxa" w:w="3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Family name</w:t>
            </w:r>
          </w:p>
        </w:tc>
        <w:tc>
          <w:tcPr>
            <w:tcW w:type="dxa" w:w="576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KİREÇÇİ</w:t>
            </w:r>
          </w:p>
        </w:tc>
      </w:tr>
      <w:tr>
        <w:tc>
          <w:tcPr>
            <w:tcW w:type="dxa" w:w="3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Department</w:t>
            </w:r>
          </w:p>
        </w:tc>
        <w:tc>
          <w:tcPr>
            <w:tcW w:type="dxa" w:w="576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Project Coordination</w:t>
            </w:r>
          </w:p>
        </w:tc>
      </w:tr>
      <w:tr>
        <w:tc>
          <w:tcPr>
            <w:tcW w:type="dxa" w:w="3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Position</w:t>
            </w:r>
          </w:p>
        </w:tc>
        <w:tc>
          <w:tcPr>
            <w:tcW w:type="dxa" w:w="576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Group Leader</w:t>
            </w:r>
          </w:p>
        </w:tc>
      </w:tr>
      <w:tr>
        <w:tc>
          <w:tcPr>
            <w:tcW w:type="dxa" w:w="3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Email</w:t>
            </w:r>
          </w:p>
        </w:tc>
        <w:tc>
          <w:tcPr>
            <w:tcW w:type="dxa" w:w="576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kireccibora03@gmail.com</w:t>
            </w:r>
          </w:p>
        </w:tc>
      </w:tr>
      <w:tr>
        <w:tc>
          <w:tcPr>
            <w:tcW w:type="dxa" w:w="3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Telephone 1</w:t>
            </w:r>
          </w:p>
        </w:tc>
        <w:tc>
          <w:tcPr>
            <w:tcW w:type="dxa" w:w="576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+90 530 645 5432</w:t>
            </w:r>
          </w:p>
        </w:tc>
      </w:tr>
    </w:tbl>
    <w:p>
      <w:pPr>
        <w:spacing w:after="120" w:before="360"/>
      </w:pPr>
      <w:r>
        <w:rPr>
          <w:b/>
          <w:bCs/>
          <w:sz w:val="24"/>
          <w:szCs w:val="24"/>
        </w:rPr>
        <w:t xml:space="preserve">BACKGROUND AND EXPERIENCE</w:t>
      </w:r>
    </w:p>
    <w:p>
      <w:pPr>
        <w:spacing w:after="120"/>
      </w:pPr>
      <w:r>
        <w:rPr>
          <w:sz w:val="22"/>
          <w:szCs w:val="22"/>
        </w:rPr>
        <w:t xml:space="preserve">Please briefly present the partner organisation (e.g. its type, size, scope of work, areas of specific expertise, specific social context and, if relevant, the quality system used)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00000" w:sz="4"/>
              <w:left w:val="single" w:color="000000" w:sz="4"/>
              <w:bottom w:val="single" w:color="000000" w:sz="4"/>
              <w:right w:val="single" w:color="000000" w:sz="4"/>
            </w:tcBorders>
            <w:tcMar>
              <w:top w:type="dxa" w:w="160"/>
              <w:left w:type="dxa" w:w="200"/>
              <w:bottom w:type="dxa" w:w="160"/>
              <w:right w:type="dxa" w:w="200"/>
            </w:tcMar>
          </w:tcPr>
          <w:p>
            <w:pPr>
              <w:spacing w:after="120" w:line="300"/>
              <w:jc w:val="both"/>
            </w:pPr>
            <w:r>
              <w:rPr>
                <w:i w:val="false"/>
                <w:iCs w:val="false"/>
                <w:color w:val="000000"/>
                <w:sz w:val="22"/>
                <w:szCs w:val="22"/>
              </w:rPr>
              <w:t xml:space="preserve">Inception is a non-formal group of young people based in İstanbul, Türkiye, established in May 2026 and registered with the European Commission under Organisation ID E10436164. The Group brings together four (4) active young members aged 18–30, supported by two (2) experienced adult mentors. Inception was founded with the purpose of participating in Erasmus+ Youth Exchanges (KA152-YOU) and similar youth-led initiatives at European level.</w:t>
            </w:r>
          </w:p>
          <w:p>
            <w:pPr>
              <w:spacing w:after="120" w:line="300"/>
              <w:jc w:val="both"/>
            </w:pPr>
            <w:r>
              <w:rPr>
                <w:i w:val="false"/>
                <w:iCs w:val="false"/>
                <w:color w:val="000000"/>
                <w:sz w:val="22"/>
                <w:szCs w:val="22"/>
              </w:rPr>
              <w:t xml:space="preserve">The Group is small in size but multidisciplinary in composition: its members combine competences in creative design and visual communication, music and performing arts, physical education and team-building, language and literature, pedagogy, and financial management. As an informal youth group, Inception does not have a formal hierarchy: decisions are taken collectively in the General Assembly, while the Group Leader represents the Group externally before the European Commission, the Turkish National Agency, and partner organisations.</w:t>
            </w:r>
          </w:p>
          <w:p>
            <w:pPr>
              <w:spacing w:after="120" w:line="300"/>
              <w:jc w:val="both"/>
            </w:pPr>
            <w:r>
              <w:rPr>
                <w:i w:val="false"/>
                <w:iCs w:val="false"/>
                <w:color w:val="000000"/>
                <w:sz w:val="22"/>
                <w:szCs w:val="22"/>
              </w:rPr>
              <w:t xml:space="preserve">Inception's main areas of activity are: (1) the design of game-based and art-based educational tools, with a particular focus on the original board game "Sahne" (Stage) developed by Group members; (2) the promotion of the UN Sustainable Development Goals (SDGs) through non-formal learning; and (3) the participation of young people from Türkiye in international mobility activities under the Erasmus+ Programme.</w:t>
            </w:r>
          </w:p>
        </w:tc>
      </w:tr>
    </w:tbl>
    <w:p>
      <w:pPr>
        <w:spacing w:after="120" w:before="240"/>
      </w:pPr>
      <w:r>
        <w:rPr>
          <w:b/>
          <w:bCs/>
          <w:sz w:val="22"/>
          <w:szCs w:val="22"/>
        </w:rPr>
        <w:t xml:space="preserve">What are the activities and experience of the partner organisation in the areas relevant for this project?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00000" w:sz="4"/>
              <w:left w:val="single" w:color="000000" w:sz="4"/>
              <w:bottom w:val="single" w:color="000000" w:sz="4"/>
              <w:right w:val="single" w:color="000000" w:sz="4"/>
            </w:tcBorders>
            <w:tcMar>
              <w:top w:type="dxa" w:w="160"/>
              <w:left w:type="dxa" w:w="200"/>
              <w:bottom w:type="dxa" w:w="160"/>
              <w:right w:type="dxa" w:w="200"/>
            </w:tcMar>
          </w:tcPr>
          <w:p>
            <w:pPr>
              <w:spacing w:after="120" w:line="300"/>
              <w:jc w:val="both"/>
            </w:pPr>
            <w:r>
              <w:rPr>
                <w:i w:val="false"/>
                <w:iCs w:val="false"/>
                <w:color w:val="000000"/>
                <w:sz w:val="22"/>
                <w:szCs w:val="22"/>
              </w:rPr>
              <w:t xml:space="preserve">Although Inception is a newly established group, its members and adult supporters bring solid prior experience in non-formal education, the performing arts, sport, and youth-led activities. The Group's founding project — currently under preparation — is a Youth Exchange under Erasmus+ KA152-YOU based on the original "Sahne" board game, designed by Group members as an educational tool for raising awareness of the UN Sustainable Development Goals through theatre, narrative, and gameplay.</w:t>
            </w:r>
          </w:p>
          <w:p>
            <w:pPr>
              <w:spacing w:after="120" w:line="300"/>
              <w:jc w:val="both"/>
            </w:pPr>
            <w:r>
              <w:rPr>
                <w:i w:val="false"/>
                <w:iCs w:val="false"/>
                <w:color w:val="000000"/>
                <w:sz w:val="22"/>
                <w:szCs w:val="22"/>
              </w:rPr>
              <w:t xml:space="preserve">In the relevant areas for this project, the Group can rely on the following expertise:</w:t>
            </w:r>
          </w:p>
          <w:p>
            <w:pPr>
              <w:spacing w:after="120" w:line="300"/>
              <w:jc w:val="both"/>
            </w:pPr>
            <w:r>
              <w:rPr>
                <w:i w:val="false"/>
                <w:iCs w:val="false"/>
                <w:color w:val="000000"/>
                <w:sz w:val="22"/>
                <w:szCs w:val="22"/>
              </w:rPr>
              <w:t xml:space="preserve">• Game design and pedagogical content: the "Sahne" board game, co-designed by Bora Kireççi and Bahar Toygar, integrates the 17 SDGs into a theatre-based gameplay structure. The tool has been tested in informal settings and is currently being prepared for international piloting.</w:t>
            </w:r>
          </w:p>
          <w:p>
            <w:pPr>
              <w:spacing w:after="120" w:line="300"/>
              <w:jc w:val="both"/>
            </w:pPr>
            <w:r>
              <w:rPr>
                <w:i w:val="false"/>
                <w:iCs w:val="false"/>
                <w:color w:val="000000"/>
                <w:sz w:val="22"/>
                <w:szCs w:val="22"/>
              </w:rPr>
              <w:t xml:space="preserve">• Performing arts and music: through member Yağmur Sarıhan, the Group has direct access to conservatory-level expertise in music performance, masterclass methodology, and orchestra coordination, all of which feed into the artistic dimension of activities.</w:t>
            </w:r>
          </w:p>
          <w:p>
            <w:pPr>
              <w:spacing w:after="120" w:line="300"/>
              <w:jc w:val="both"/>
            </w:pPr>
            <w:r>
              <w:rPr>
                <w:i w:val="false"/>
                <w:iCs w:val="false"/>
                <w:color w:val="000000"/>
                <w:sz w:val="22"/>
                <w:szCs w:val="22"/>
              </w:rPr>
              <w:t xml:space="preserve">• Sports and team-building: member Feyza Sarıhan, a national-level athlete in fin swimming, brings methodologies for team cohesion, performance under pressure, and structured group activities.</w:t>
            </w:r>
          </w:p>
          <w:p>
            <w:pPr>
              <w:spacing w:after="120" w:line="300"/>
              <w:jc w:val="both"/>
            </w:pPr>
            <w:r>
              <w:rPr>
                <w:i w:val="false"/>
                <w:iCs w:val="false"/>
                <w:color w:val="000000"/>
                <w:sz w:val="22"/>
                <w:szCs w:val="22"/>
              </w:rPr>
              <w:t xml:space="preserve">• Pedagogy and trainer expertise: adult supporter Bahar Toygar holds a Trainer Academy certification and has authored theatrical works for non-professional groups; she leads on the pedagogical design of the Group's activities.</w:t>
            </w:r>
          </w:p>
          <w:p>
            <w:pPr>
              <w:spacing w:after="120" w:line="300"/>
              <w:jc w:val="both"/>
            </w:pPr>
            <w:r>
              <w:rPr>
                <w:i w:val="false"/>
                <w:iCs w:val="false"/>
                <w:color w:val="000000"/>
                <w:sz w:val="22"/>
                <w:szCs w:val="22"/>
              </w:rPr>
              <w:t xml:space="preserve">• Financial and administrative management: adult supporter Birgül Sevinç, a retired banking professional with 20 years of sector experience, supervises the Group's financial planning and reporting.</w:t>
            </w:r>
          </w:p>
        </w:tc>
      </w:tr>
    </w:tbl>
    <w:p>
      <w:pPr>
        <w:spacing w:after="120" w:before="240"/>
      </w:pPr>
      <w:r>
        <w:rPr>
          <w:b/>
          <w:bCs/>
          <w:sz w:val="22"/>
          <w:szCs w:val="22"/>
        </w:rPr>
        <w:t xml:space="preserve">What are the skills and/or expertise of key persons involved in this project?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00000" w:sz="4"/>
              <w:left w:val="single" w:color="000000" w:sz="4"/>
              <w:bottom w:val="single" w:color="000000" w:sz="4"/>
              <w:right w:val="single" w:color="000000" w:sz="4"/>
            </w:tcBorders>
            <w:tcMar>
              <w:top w:type="dxa" w:w="160"/>
              <w:left w:type="dxa" w:w="200"/>
              <w:bottom w:type="dxa" w:w="160"/>
              <w:right w:type="dxa" w:w="200"/>
            </w:tcMar>
          </w:tcPr>
          <w:p>
            <w:pPr>
              <w:spacing w:after="120" w:line="300"/>
              <w:jc w:val="both"/>
            </w:pPr>
            <w:r>
              <w:rPr>
                <w:i w:val="false"/>
                <w:iCs w:val="false"/>
                <w:color w:val="000000"/>
                <w:sz w:val="22"/>
                <w:szCs w:val="22"/>
              </w:rPr>
              <w:t xml:space="preserve">The Group is composed of four (4) active young members (aged 18–30, eligible under Erasmus+ KA152 rules) and two (2) adult supporters who provide mentorship without holding decision-making rights. Their profiles are as follows:</w:t>
            </w:r>
          </w:p>
          <w:p>
            <w:pPr>
              <w:spacing w:after="120" w:line="300"/>
              <w:jc w:val="both"/>
            </w:pPr>
            <w:r>
              <w:rPr>
                <w:i w:val="false"/>
                <w:iCs w:val="false"/>
                <w:color w:val="000000"/>
                <w:sz w:val="22"/>
                <w:szCs w:val="22"/>
              </w:rPr>
              <w:t xml:space="preserve">1) Mr. ORUÇ BORA KİREÇÇİ — Group Leader and Legal Representative. Bachelor's student in Advertising Design and Communication at Yeditepe University. Co-creator of the "Sahne" board game. Combines visual design, project coordination, and intercultural communication skills (English C1, Spanish A1). Acts as the official signatory of the Group before the European Commission and the Turkish National Agency.</w:t>
            </w:r>
          </w:p>
          <w:p>
            <w:pPr>
              <w:spacing w:after="120" w:line="300"/>
              <w:jc w:val="both"/>
            </w:pPr>
            <w:r>
              <w:rPr>
                <w:i w:val="false"/>
                <w:iCs w:val="false"/>
                <w:color w:val="000000"/>
                <w:sz w:val="22"/>
                <w:szCs w:val="22"/>
              </w:rPr>
              <w:t xml:space="preserve">2) Ms. YAĞMUR SARIHAN — Member; Cultural and Artistic Activities Coordinator. Bachelor's student in Music Theory at Istanbul Technical University Turkish Music State Conservatory. 4 years of flute education at the High School of Fine Arts, with performances in the Istanbul Youth Symphony Orchestra, the Istanbul Metropolitan Municipality (IBB) Orchestra, and international music festivals. First place at the Marmara Flute Orchestra National Competition (2024); scholarship recipient at the Ayvalık International Music Academy (AIMA). English B1. Leads the artistic dimension of activities.</w:t>
            </w:r>
          </w:p>
          <w:p>
            <w:pPr>
              <w:spacing w:after="120" w:line="300"/>
              <w:jc w:val="both"/>
            </w:pPr>
            <w:r>
              <w:rPr>
                <w:i w:val="false"/>
                <w:iCs w:val="false"/>
                <w:color w:val="000000"/>
                <w:sz w:val="22"/>
                <w:szCs w:val="22"/>
              </w:rPr>
              <w:t xml:space="preserve">3) Ms. FEYZA SARIHAN — Member; Sports and Team-Building Coordinator. Bachelor's student in Physical Education and Sports Teaching at Istanbul University-Cerrahpaşa. 8 years of competitive fin swimming, with multiple national rankings and international representation of Türkiye as part of the national team. English A2. Brings expertise in team cohesion, time management, and goal-oriented group methodology.</w:t>
            </w:r>
          </w:p>
          <w:p>
            <w:pPr>
              <w:spacing w:after="120" w:line="300"/>
              <w:jc w:val="both"/>
            </w:pPr>
            <w:r>
              <w:rPr>
                <w:i w:val="false"/>
                <w:iCs w:val="false"/>
                <w:color w:val="000000"/>
                <w:sz w:val="22"/>
                <w:szCs w:val="22"/>
              </w:rPr>
              <w:t xml:space="preserve">4) Mr. ARCA MIKE — Member; Communications and Dissemination Coordinator. Bachelor's student in Turkish Language and Literature at Haliç University. English A2. Supports the linguistic, narrative, and dissemination dimensions of the Group's projects.</w:t>
            </w:r>
          </w:p>
          <w:p>
            <w:pPr>
              <w:spacing w:after="120" w:line="300"/>
              <w:jc w:val="both"/>
            </w:pPr>
            <w:r>
              <w:rPr>
                <w:i w:val="false"/>
                <w:iCs w:val="false"/>
                <w:color w:val="000000"/>
                <w:sz w:val="22"/>
                <w:szCs w:val="22"/>
              </w:rPr>
              <w:t xml:space="preserve">5) Mrs. BAHAR TOYGAR — Adult Supporter; Pedagogical and Content Design Mentor. Background in product and service delivery, marketing, and executive management, with a Trainer Academy certification. Author of theatrical works for non-professional groups and co-designer of the "Sahne" board game. Provides the Group with pedagogical guidance, content design, and quality assurance, without voting rights in the General Assembly.</w:t>
            </w:r>
          </w:p>
          <w:p>
            <w:pPr>
              <w:spacing w:after="120" w:line="300"/>
              <w:jc w:val="both"/>
            </w:pPr>
            <w:r>
              <w:rPr>
                <w:i w:val="false"/>
                <w:iCs w:val="false"/>
                <w:color w:val="000000"/>
                <w:sz w:val="22"/>
                <w:szCs w:val="22"/>
              </w:rPr>
              <w:t xml:space="preserve">6) Mrs. BİRGÜL SEVİNÇ — Adult Supporter; Financial and Administrative Mentor. Bachelor's degree in Economics from Abant İzzet Baysal University. 20 years of professional experience in the banking sector; currently provides financial consultancy services. English A2. Supports the Group in financial planning, budget management, and the proper administration of grant funds.</w:t>
            </w:r>
          </w:p>
        </w:tc>
      </w:tr>
    </w:tbl>
    <w:p>
      <w:pPr>
        <w:spacing w:after="120" w:before="240"/>
      </w:pPr>
      <w:r>
        <w:rPr>
          <w:b/>
          <w:bCs/>
          <w:sz w:val="22"/>
          <w:szCs w:val="22"/>
        </w:rPr>
        <w:t xml:space="preserve">Has the partner organisation participated in a European Union granted project in the 3 years preceding this application?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1560"/>
        <w:gridCol w:w="2860"/>
        <w:gridCol w:w="2600"/>
      </w:tblGrid>
      <w:tr>
        <w:trPr>
          <w:tblHeader/>
        </w:trPr>
        <w:tc>
          <w:tcPr>
            <w:tcW w:type="dxa" w:w="2340"/>
            <w:tcBorders>
              <w:top w:val="single" w:color="000000" w:sz="4"/>
              <w:left w:val="single" w:color="000000" w:sz="4"/>
              <w:bottom w:val="single" w:color="000000" w:sz="4"/>
              <w:right w:val="single" w:color="000000" w:sz="4"/>
            </w:tcBorders>
            <w:shd w:fill="D9D9D9" w:color="auto" w:val="clear"/>
            <w:tcMar>
              <w:top w:type="dxa" w:w="80"/>
              <w:left w:type="dxa" w:w="120"/>
              <w:bottom w:type="dxa" w:w="80"/>
              <w:right w:type="dxa" w:w="120"/>
            </w:tcMar>
            <w:vAlign w:val="center"/>
          </w:tcPr>
          <w:p>
            <w:pPr>
              <w:jc w:val="left"/>
            </w:pPr>
            <w:r>
              <w:rPr>
                <w:b/>
                <w:bCs/>
                <w:i w:val="false"/>
                <w:iCs w:val="false"/>
                <w:color w:val="000000"/>
                <w:sz w:val="22"/>
                <w:szCs w:val="22"/>
              </w:rPr>
              <w:t xml:space="preserve">EU Programme</w:t>
            </w:r>
          </w:p>
        </w:tc>
        <w:tc>
          <w:tcPr>
            <w:tcW w:type="dxa" w:w="1560"/>
            <w:tcBorders>
              <w:top w:val="single" w:color="000000" w:sz="4"/>
              <w:left w:val="single" w:color="000000" w:sz="4"/>
              <w:bottom w:val="single" w:color="000000" w:sz="4"/>
              <w:right w:val="single" w:color="000000" w:sz="4"/>
            </w:tcBorders>
            <w:shd w:fill="D9D9D9" w:color="auto" w:val="clear"/>
            <w:tcMar>
              <w:top w:type="dxa" w:w="80"/>
              <w:left w:type="dxa" w:w="120"/>
              <w:bottom w:type="dxa" w:w="80"/>
              <w:right w:type="dxa" w:w="120"/>
            </w:tcMar>
            <w:vAlign w:val="center"/>
          </w:tcPr>
          <w:p>
            <w:pPr>
              <w:jc w:val="left"/>
            </w:pPr>
            <w:r>
              <w:rPr>
                <w:b/>
                <w:bCs/>
                <w:i w:val="false"/>
                <w:iCs w:val="false"/>
                <w:color w:val="000000"/>
                <w:sz w:val="22"/>
                <w:szCs w:val="22"/>
              </w:rPr>
              <w:t xml:space="preserve">Year</w:t>
            </w:r>
          </w:p>
        </w:tc>
        <w:tc>
          <w:tcPr>
            <w:tcW w:type="dxa" w:w="2860"/>
            <w:tcBorders>
              <w:top w:val="single" w:color="000000" w:sz="4"/>
              <w:left w:val="single" w:color="000000" w:sz="4"/>
              <w:bottom w:val="single" w:color="000000" w:sz="4"/>
              <w:right w:val="single" w:color="000000" w:sz="4"/>
            </w:tcBorders>
            <w:shd w:fill="D9D9D9" w:color="auto" w:val="clear"/>
            <w:tcMar>
              <w:top w:type="dxa" w:w="80"/>
              <w:left w:type="dxa" w:w="120"/>
              <w:bottom w:type="dxa" w:w="80"/>
              <w:right w:type="dxa" w:w="120"/>
            </w:tcMar>
            <w:vAlign w:val="center"/>
          </w:tcPr>
          <w:p>
            <w:pPr>
              <w:jc w:val="left"/>
            </w:pPr>
            <w:r>
              <w:rPr>
                <w:b/>
                <w:bCs/>
                <w:i w:val="false"/>
                <w:iCs w:val="false"/>
                <w:color w:val="000000"/>
                <w:sz w:val="22"/>
                <w:szCs w:val="22"/>
              </w:rPr>
              <w:t xml:space="preserve">Project identification or contract number</w:t>
            </w:r>
          </w:p>
        </w:tc>
        <w:tc>
          <w:tcPr>
            <w:tcW w:type="dxa" w:w="2600"/>
            <w:tcBorders>
              <w:top w:val="single" w:color="000000" w:sz="4"/>
              <w:left w:val="single" w:color="000000" w:sz="4"/>
              <w:bottom w:val="single" w:color="000000" w:sz="4"/>
              <w:right w:val="single" w:color="000000" w:sz="4"/>
            </w:tcBorders>
            <w:shd w:fill="D9D9D9" w:color="auto" w:val="clear"/>
            <w:tcMar>
              <w:top w:type="dxa" w:w="80"/>
              <w:left w:type="dxa" w:w="120"/>
              <w:bottom w:type="dxa" w:w="80"/>
              <w:right w:type="dxa" w:w="120"/>
            </w:tcMar>
            <w:vAlign w:val="center"/>
          </w:tcPr>
          <w:p>
            <w:pPr>
              <w:jc w:val="left"/>
            </w:pPr>
            <w:r>
              <w:rPr>
                <w:b/>
                <w:bCs/>
                <w:i w:val="false"/>
                <w:iCs w:val="false"/>
                <w:color w:val="000000"/>
                <w:sz w:val="22"/>
                <w:szCs w:val="22"/>
              </w:rPr>
              <w:t xml:space="preserve">Applicant / Beneficiary Name</w:t>
            </w:r>
          </w:p>
        </w:tc>
      </w:tr>
      <w:tr>
        <w:tc>
          <w:tcPr>
            <w:tcW w:type="dxa" w:w="234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w:t>
            </w:r>
          </w:p>
        </w:tc>
        <w:tc>
          <w:tcPr>
            <w:tcW w:type="dxa" w:w="156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w:t>
            </w:r>
          </w:p>
        </w:tc>
        <w:tc>
          <w:tcPr>
            <w:tcW w:type="dxa" w:w="286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None — Inception is a newly established informal group.</w:t>
            </w:r>
          </w:p>
        </w:tc>
        <w:tc>
          <w:tcPr>
            <w:tcW w:type="dxa" w:w="2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w:t>
            </w:r>
          </w:p>
        </w:tc>
      </w:tr>
    </w:tbl>
    <w:p>
      <w:pPr>
        <w:spacing w:after="12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rPr>
          <w:tblHeader/>
        </w:trPr>
        <w:tc>
          <w:tcPr>
            <w:tcW w:type="dxa" w:w="9360"/>
            <w:gridSpan w:val="2"/>
            <w:tcBorders>
              <w:top w:val="single" w:color="000000" w:sz="4"/>
              <w:left w:val="single" w:color="000000" w:sz="4"/>
              <w:bottom w:val="single" w:color="000000" w:sz="4"/>
              <w:right w:val="single" w:color="000000" w:sz="4"/>
            </w:tcBorders>
            <w:shd w:fill="D9D9D9" w:color="auto" w:val="clear"/>
            <w:tcMar>
              <w:top w:type="dxa" w:w="100"/>
              <w:left w:type="dxa" w:w="140"/>
              <w:bottom w:type="dxa" w:w="100"/>
              <w:right w:type="dxa" w:w="140"/>
            </w:tcMar>
          </w:tcPr>
          <w:p>
            <w:pPr>
              <w:jc w:val="left"/>
            </w:pPr>
            <w:r>
              <w:rPr>
                <w:b/>
                <w:bCs/>
                <w:sz w:val="22"/>
                <w:szCs w:val="22"/>
              </w:rPr>
              <w:t xml:space="preserve">CONTACT PERSON</w:t>
            </w:r>
          </w:p>
        </w:tc>
      </w:tr>
      <w:tr>
        <w:tc>
          <w:tcPr>
            <w:tcW w:type="dxa" w:w="3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Title</w:t>
            </w:r>
          </w:p>
        </w:tc>
        <w:tc>
          <w:tcPr>
            <w:tcW w:type="dxa" w:w="576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Ms.</w:t>
            </w:r>
          </w:p>
        </w:tc>
      </w:tr>
      <w:tr>
        <w:tc>
          <w:tcPr>
            <w:tcW w:type="dxa" w:w="3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Gender</w:t>
            </w:r>
          </w:p>
        </w:tc>
        <w:tc>
          <w:tcPr>
            <w:tcW w:type="dxa" w:w="576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Female</w:t>
            </w:r>
          </w:p>
        </w:tc>
      </w:tr>
      <w:tr>
        <w:tc>
          <w:tcPr>
            <w:tcW w:type="dxa" w:w="3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First Name</w:t>
            </w:r>
          </w:p>
        </w:tc>
        <w:tc>
          <w:tcPr>
            <w:tcW w:type="dxa" w:w="576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YAĞMUR</w:t>
            </w:r>
          </w:p>
        </w:tc>
      </w:tr>
      <w:tr>
        <w:tc>
          <w:tcPr>
            <w:tcW w:type="dxa" w:w="3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Family Name</w:t>
            </w:r>
          </w:p>
        </w:tc>
        <w:tc>
          <w:tcPr>
            <w:tcW w:type="dxa" w:w="576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SARIHAN</w:t>
            </w:r>
          </w:p>
        </w:tc>
      </w:tr>
      <w:tr>
        <w:tc>
          <w:tcPr>
            <w:tcW w:type="dxa" w:w="3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Department</w:t>
            </w:r>
          </w:p>
        </w:tc>
        <w:tc>
          <w:tcPr>
            <w:tcW w:type="dxa" w:w="576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Cultural &amp; Artistic Activities</w:t>
            </w:r>
          </w:p>
        </w:tc>
      </w:tr>
      <w:tr>
        <w:tc>
          <w:tcPr>
            <w:tcW w:type="dxa" w:w="3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Position</w:t>
            </w:r>
          </w:p>
        </w:tc>
        <w:tc>
          <w:tcPr>
            <w:tcW w:type="dxa" w:w="576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Cultural &amp; Artistic Activities Coordinator</w:t>
            </w:r>
          </w:p>
        </w:tc>
      </w:tr>
      <w:tr>
        <w:tc>
          <w:tcPr>
            <w:tcW w:type="dxa" w:w="3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Email</w:t>
            </w:r>
          </w:p>
        </w:tc>
        <w:tc>
          <w:tcPr>
            <w:tcW w:type="dxa" w:w="576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yagmursarihan1064@gmail.com</w:t>
            </w:r>
          </w:p>
        </w:tc>
      </w:tr>
      <w:tr>
        <w:tc>
          <w:tcPr>
            <w:tcW w:type="dxa" w:w="3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Telephone 1</w:t>
            </w:r>
          </w:p>
        </w:tc>
        <w:tc>
          <w:tcPr>
            <w:tcW w:type="dxa" w:w="576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jc w:val="left"/>
            </w:pPr>
            <w:r>
              <w:rPr>
                <w:b w:val="false"/>
                <w:bCs w:val="false"/>
                <w:i w:val="false"/>
                <w:iCs w:val="false"/>
                <w:color w:val="000000"/>
                <w:sz w:val="22"/>
                <w:szCs w:val="22"/>
              </w:rPr>
              <w:t xml:space="preserve">+90 505 312 6280</w:t>
            </w:r>
          </w:p>
        </w:tc>
      </w:tr>
    </w:tbl>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 Identification Form (PIF) — Inception</dc:title>
  <dc:creator>Inception Youth Group</dc:creator>
  <cp:lastModifiedBy>Un-named</cp:lastModifiedBy>
  <cp:revision>1</cp:revision>
  <dcterms:created xsi:type="dcterms:W3CDTF">2026-05-27T08:50:55.346Z</dcterms:created>
  <dcterms:modified xsi:type="dcterms:W3CDTF">2026-05-27T08:50:55.346Z</dcterms:modified>
</cp:coreProperties>
</file>

<file path=docProps/custom.xml><?xml version="1.0" encoding="utf-8"?>
<Properties xmlns="http://schemas.openxmlformats.org/officeDocument/2006/custom-properties" xmlns:vt="http://schemas.openxmlformats.org/officeDocument/2006/docPropsVTypes"/>
</file>