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Additional Information – Youth and Future Center Kayseri</w:t>
      </w:r>
    </w:p>
    <w:p>
      <w:r>
        <w:t>We are highly motivated to establish long-term partnerships with EU municipalities, NGOs and universities for sustainable youth work. Our vision is to create sustainable cooperation models that will empower youth, strengthen communities, and align with EU priorities in the field of social inclusion, education, and employability.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