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76" w:lineRule="auto"/>
        <w:jc w:val="center"/>
        <w:rPr>
          <w:b w:val="1"/>
          <w:u w:val="single"/>
        </w:rPr>
      </w:pPr>
      <w:r w:rsidDel="00000000" w:rsidR="00000000" w:rsidRPr="00000000">
        <w:rPr>
          <w:b w:val="1"/>
          <w:u w:val="single"/>
          <w:rtl w:val="0"/>
        </w:rPr>
        <w:t xml:space="preserve">Concept Note</w:t>
      </w:r>
    </w:p>
    <w:p w:rsidR="00000000" w:rsidDel="00000000" w:rsidP="00000000" w:rsidRDefault="00000000" w:rsidRPr="00000000" w14:paraId="00000002">
      <w:pPr>
        <w:widowControl w:val="0"/>
        <w:spacing w:before="240" w:line="240" w:lineRule="auto"/>
        <w:rPr/>
      </w:pPr>
      <w:r w:rsidDel="00000000" w:rsidR="00000000" w:rsidRPr="00000000">
        <w:rPr>
          <w:rtl w:val="0"/>
        </w:rPr>
        <w:t xml:space="preserve">Project Title: GEMTour</w:t>
      </w:r>
    </w:p>
    <w:p w:rsidR="00000000" w:rsidDel="00000000" w:rsidP="00000000" w:rsidRDefault="00000000" w:rsidRPr="00000000" w14:paraId="00000003">
      <w:pPr>
        <w:widowControl w:val="0"/>
        <w:spacing w:before="240" w:line="240" w:lineRule="auto"/>
        <w:rPr/>
      </w:pPr>
      <w:r w:rsidDel="00000000" w:rsidR="00000000" w:rsidRPr="00000000">
        <w:rPr>
          <w:rtl w:val="0"/>
        </w:rPr>
        <w:t xml:space="preserve">Programme: ERASMUS+</w:t>
      </w:r>
    </w:p>
    <w:p w:rsidR="00000000" w:rsidDel="00000000" w:rsidP="00000000" w:rsidRDefault="00000000" w:rsidRPr="00000000" w14:paraId="00000004">
      <w:pPr>
        <w:widowControl w:val="0"/>
        <w:spacing w:before="240" w:line="240" w:lineRule="auto"/>
        <w:rPr/>
      </w:pPr>
      <w:r w:rsidDel="00000000" w:rsidR="00000000" w:rsidRPr="00000000">
        <w:rPr>
          <w:rtl w:val="0"/>
        </w:rPr>
        <w:t xml:space="preserve">Key Action – KA2</w:t>
      </w:r>
    </w:p>
    <w:p w:rsidR="00000000" w:rsidDel="00000000" w:rsidP="00000000" w:rsidRDefault="00000000" w:rsidRPr="00000000" w14:paraId="00000005">
      <w:pPr>
        <w:widowControl w:val="0"/>
        <w:spacing w:before="240" w:line="240" w:lineRule="auto"/>
        <w:rPr/>
      </w:pPr>
      <w:r w:rsidDel="00000000" w:rsidR="00000000" w:rsidRPr="00000000">
        <w:rPr>
          <w:rtl w:val="0"/>
        </w:rPr>
        <w:t xml:space="preserve">Sector: YOU</w:t>
      </w:r>
    </w:p>
    <w:p w:rsidR="00000000" w:rsidDel="00000000" w:rsidP="00000000" w:rsidRDefault="00000000" w:rsidRPr="00000000" w14:paraId="00000006">
      <w:pPr>
        <w:widowControl w:val="0"/>
        <w:spacing w:before="240" w:line="240" w:lineRule="auto"/>
        <w:rPr/>
      </w:pPr>
      <w:r w:rsidDel="00000000" w:rsidR="00000000" w:rsidRPr="00000000">
        <w:rPr>
          <w:rtl w:val="0"/>
        </w:rPr>
        <w:t xml:space="preserve">Deadline for Submission: OCT 25</w:t>
      </w:r>
    </w:p>
    <w:p w:rsidR="00000000" w:rsidDel="00000000" w:rsidP="00000000" w:rsidRDefault="00000000" w:rsidRPr="00000000" w14:paraId="00000007">
      <w:pPr>
        <w:widowControl w:val="0"/>
        <w:spacing w:before="240" w:line="240" w:lineRule="auto"/>
        <w:rPr/>
      </w:pPr>
      <w:r w:rsidDel="00000000" w:rsidR="00000000" w:rsidRPr="00000000">
        <w:rPr>
          <w:rtl w:val="0"/>
        </w:rPr>
        <w:t xml:space="preserve">Duration: 14 months</w:t>
      </w:r>
    </w:p>
    <w:p w:rsidR="00000000" w:rsidDel="00000000" w:rsidP="00000000" w:rsidRDefault="00000000" w:rsidRPr="00000000" w14:paraId="00000008">
      <w:pPr>
        <w:widowControl w:val="0"/>
        <w:spacing w:before="240" w:line="240" w:lineRule="auto"/>
        <w:rPr>
          <w:b w:val="1"/>
          <w:color w:val="000000"/>
          <w:sz w:val="22"/>
          <w:szCs w:val="22"/>
        </w:rPr>
      </w:pPr>
      <w:r w:rsidDel="00000000" w:rsidR="00000000" w:rsidRPr="00000000">
        <w:rPr>
          <w:rtl w:val="0"/>
        </w:rPr>
        <w:t xml:space="preserve">Budget: 60.000 EUR</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2"/>
          <w:szCs w:val="22"/>
        </w:rPr>
      </w:pPr>
      <w:bookmarkStart w:colFirst="0" w:colLast="0" w:name="_kde5pod6klw4" w:id="0"/>
      <w:bookmarkEnd w:id="0"/>
      <w:r w:rsidDel="00000000" w:rsidR="00000000" w:rsidRPr="00000000">
        <w:rPr>
          <w:b w:val="1"/>
          <w:color w:val="000000"/>
          <w:sz w:val="22"/>
          <w:szCs w:val="22"/>
          <w:rtl w:val="0"/>
        </w:rPr>
        <w:t xml:space="preserve">Background</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Tourism is a cornerstone of Europe’s cultural and economic identity, but its development is uneven and increasingly unsustainable. While a handful of destinations face the pressures of overtourism—with visitor overcrowding, environmental degradation, and declining quality of life for residents—many other regions remain under-touristic, failing to benefit from tourism despite having rich cultural and natural resources. The European Commission’s study on unbalanced tourism growth highlights how concentrated visitor flows generate environmental and social stress in some areas, while others are left behind, calling for strategies to diversify tourism geographically and seasonally. Recent research also underlines that the challenge is not only about numbers but about distribution, governance, and community participation, making it essential to involve the next generation in shaping smarter tourism futures.</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To address these challenges, the European Union has launched initiatives such as the European Green Pioneer of Smart Tourism and the European Capital of Smart Tourism competitions, which recognize cities and towns implementing innovative practices for sustainable, inclusive, and smart tourism. These best practices include the use of digital tools to monitor visitor flows, sustainable mobility and energy solutions, participatory governance models, and strategies to spread tourism benefits to lesser-known areas. However, young people—who will inherit the future of these destinations—are often excluded from decision-making in tourism planning and urban development. By empowering youth with knowledge of these proven practices, and by building their capacity to adapt them to under-touristic places, the project will contribute to combating overtourism, unlocking hidden potential in overlooked destinations, and fostering youth-led innovation in sustainable tourism across Europe.</w:t>
      </w:r>
    </w:p>
    <w:p w:rsidR="00000000" w:rsidDel="00000000" w:rsidP="00000000" w:rsidRDefault="00000000" w:rsidRPr="00000000" w14:paraId="0000000C">
      <w:pPr>
        <w:spacing w:after="240" w:before="240" w:lineRule="auto"/>
        <w:jc w:val="both"/>
        <w:rPr/>
      </w:pP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Aims &amp; Objectives</w:t>
      </w:r>
    </w:p>
    <w:p w:rsidR="00000000" w:rsidDel="00000000" w:rsidP="00000000" w:rsidRDefault="00000000" w:rsidRPr="00000000" w14:paraId="0000000E">
      <w:pPr>
        <w:numPr>
          <w:ilvl w:val="0"/>
          <w:numId w:val="1"/>
        </w:numPr>
        <w:spacing w:after="0" w:afterAutospacing="0" w:before="240" w:lineRule="auto"/>
        <w:ind w:left="720" w:hanging="360"/>
        <w:rPr/>
      </w:pPr>
      <w:r w:rsidDel="00000000" w:rsidR="00000000" w:rsidRPr="00000000">
        <w:rPr>
          <w:rtl w:val="0"/>
        </w:rPr>
        <w:t xml:space="preserve">To research and map good and best practices in smart &amp; sustainable tourism from award-winners / finalists (e.g. European Green Pioneer, European Capital of Smart Tourism, EDEN) that have addressed issues of overtourism, seasonality, uneven flows, carrying capacity, community engagement.</w:t>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rtl w:val="0"/>
        </w:rPr>
        <w:t xml:space="preserve">To develop a state-of-the-art framework and curriculum on smart sustainable tourism practices for future tourism &amp; city leaders, integrating both theory and applied / hands-on components.</w:t>
      </w:r>
    </w:p>
    <w:p w:rsidR="00000000" w:rsidDel="00000000" w:rsidP="00000000" w:rsidRDefault="00000000" w:rsidRPr="00000000" w14:paraId="00000010">
      <w:pPr>
        <w:numPr>
          <w:ilvl w:val="0"/>
          <w:numId w:val="1"/>
        </w:numPr>
        <w:spacing w:after="240" w:before="0" w:beforeAutospacing="0" w:lineRule="auto"/>
        <w:ind w:left="720" w:hanging="360"/>
        <w:rPr/>
      </w:pPr>
      <w:r w:rsidDel="00000000" w:rsidR="00000000" w:rsidRPr="00000000">
        <w:rPr>
          <w:rtl w:val="0"/>
        </w:rPr>
        <w:t xml:space="preserve">To build capacity of students / young professionals (future tourism / city leaders) through workshops, to be able to design &amp; implement strategies for under-touristic areas while avoiding pitfalls of overtourism.</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Research Component</w:t>
      </w:r>
    </w:p>
    <w:p w:rsidR="00000000" w:rsidDel="00000000" w:rsidP="00000000" w:rsidRDefault="00000000" w:rsidRPr="00000000" w14:paraId="00000012">
      <w:pPr>
        <w:numPr>
          <w:ilvl w:val="0"/>
          <w:numId w:val="3"/>
        </w:numPr>
        <w:spacing w:after="0" w:afterAutospacing="0" w:before="240" w:lineRule="auto"/>
        <w:ind w:left="720" w:hanging="360"/>
        <w:rPr/>
      </w:pPr>
      <w:r w:rsidDel="00000000" w:rsidR="00000000" w:rsidRPr="00000000">
        <w:rPr>
          <w:rtl w:val="0"/>
        </w:rPr>
        <w:t xml:space="preserve">Literature review &amp; meta-analysis: overtourism, under-tourism, destination carrying capacity; studies of good practice.</w:t>
      </w:r>
    </w:p>
    <w:p w:rsidR="00000000" w:rsidDel="00000000" w:rsidP="00000000" w:rsidRDefault="00000000" w:rsidRPr="00000000" w14:paraId="00000013">
      <w:pPr>
        <w:numPr>
          <w:ilvl w:val="0"/>
          <w:numId w:val="3"/>
        </w:numPr>
        <w:spacing w:after="0" w:afterAutospacing="0" w:before="0" w:beforeAutospacing="0" w:lineRule="auto"/>
        <w:ind w:left="720" w:hanging="360"/>
        <w:rPr/>
      </w:pPr>
      <w:r w:rsidDel="00000000" w:rsidR="00000000" w:rsidRPr="00000000">
        <w:rPr>
          <w:rtl w:val="0"/>
        </w:rPr>
        <w:t xml:space="preserve">Case studies: selected Green Pioneer / EDEN / Smart Tourism award winners/finalists.</w:t>
      </w:r>
    </w:p>
    <w:p w:rsidR="00000000" w:rsidDel="00000000" w:rsidP="00000000" w:rsidRDefault="00000000" w:rsidRPr="00000000" w14:paraId="00000014">
      <w:pPr>
        <w:numPr>
          <w:ilvl w:val="0"/>
          <w:numId w:val="3"/>
        </w:numPr>
        <w:spacing w:after="240" w:before="0" w:beforeAutospacing="0" w:lineRule="auto"/>
        <w:ind w:left="720" w:hanging="360"/>
        <w:rPr/>
      </w:pPr>
      <w:r w:rsidDel="00000000" w:rsidR="00000000" w:rsidRPr="00000000">
        <w:rPr>
          <w:rtl w:val="0"/>
        </w:rPr>
        <w:t xml:space="preserve">Data collection: interviews with destination managers, local stakeholders; field visits; quantitative data (visitor flows, seasonality, environmental metrics).</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Training &amp; Curriculum Development</w:t>
      </w:r>
    </w:p>
    <w:p w:rsidR="00000000" w:rsidDel="00000000" w:rsidP="00000000" w:rsidRDefault="00000000" w:rsidRPr="00000000" w14:paraId="00000016">
      <w:pPr>
        <w:numPr>
          <w:ilvl w:val="0"/>
          <w:numId w:val="4"/>
        </w:numPr>
        <w:spacing w:after="0" w:afterAutospacing="0" w:before="240" w:lineRule="auto"/>
        <w:ind w:left="720" w:hanging="360"/>
        <w:rPr/>
      </w:pPr>
      <w:r w:rsidDel="00000000" w:rsidR="00000000" w:rsidRPr="00000000">
        <w:rPr>
          <w:rtl w:val="0"/>
        </w:rPr>
        <w:t xml:space="preserve">Modules might include: sustainable &amp; smart tourism theory; visitor flow &amp; crowd management; digital tools &amp; data; resource &amp; climate adaptation; community engagement; branding &amp; marketing for under-touristic areas; governance &amp; policy.</w:t>
      </w:r>
    </w:p>
    <w:p w:rsidR="00000000" w:rsidDel="00000000" w:rsidP="00000000" w:rsidRDefault="00000000" w:rsidRPr="00000000" w14:paraId="00000017">
      <w:pPr>
        <w:numPr>
          <w:ilvl w:val="0"/>
          <w:numId w:val="4"/>
        </w:numPr>
        <w:spacing w:after="240" w:before="0" w:beforeAutospacing="0" w:lineRule="auto"/>
        <w:ind w:left="720" w:hanging="360"/>
        <w:rPr/>
      </w:pPr>
      <w:r w:rsidDel="00000000" w:rsidR="00000000" w:rsidRPr="00000000">
        <w:rPr>
          <w:rtl w:val="0"/>
        </w:rPr>
        <w:t xml:space="preserve">Deliverables: a training curriculum; online materials / toolkit; </w:t>
      </w:r>
    </w:p>
    <w:p w:rsidR="00000000" w:rsidDel="00000000" w:rsidP="00000000" w:rsidRDefault="00000000" w:rsidRPr="00000000" w14:paraId="00000018">
      <w:pPr>
        <w:spacing w:after="240" w:before="240" w:lineRule="auto"/>
        <w:ind w:left="0" w:firstLine="0"/>
        <w:rPr>
          <w:b w:val="1"/>
        </w:rPr>
      </w:pPr>
      <w:r w:rsidDel="00000000" w:rsidR="00000000" w:rsidRPr="00000000">
        <w:rPr>
          <w:b w:val="1"/>
          <w:rtl w:val="0"/>
        </w:rPr>
        <w:t xml:space="preserve">Capacity Building &amp; Workshops</w:t>
      </w:r>
    </w:p>
    <w:p w:rsidR="00000000" w:rsidDel="00000000" w:rsidP="00000000" w:rsidRDefault="00000000" w:rsidRPr="00000000" w14:paraId="00000019">
      <w:pPr>
        <w:numPr>
          <w:ilvl w:val="0"/>
          <w:numId w:val="6"/>
        </w:numPr>
        <w:spacing w:after="0" w:afterAutospacing="0" w:before="240" w:lineRule="auto"/>
        <w:ind w:left="720" w:hanging="360"/>
        <w:rPr/>
      </w:pPr>
      <w:r w:rsidDel="00000000" w:rsidR="00000000" w:rsidRPr="00000000">
        <w:rPr>
          <w:rtl w:val="0"/>
        </w:rPr>
        <w:t xml:space="preserve">Workshops in partner countries/destinations, both virtual &amp; in‐person.</w:t>
      </w:r>
    </w:p>
    <w:p w:rsidR="00000000" w:rsidDel="00000000" w:rsidP="00000000" w:rsidRDefault="00000000" w:rsidRPr="00000000" w14:paraId="0000001A">
      <w:pPr>
        <w:numPr>
          <w:ilvl w:val="0"/>
          <w:numId w:val="6"/>
        </w:numPr>
        <w:spacing w:after="0" w:afterAutospacing="0" w:before="0" w:beforeAutospacing="0" w:lineRule="auto"/>
        <w:ind w:left="720" w:hanging="360"/>
        <w:rPr/>
      </w:pPr>
      <w:r w:rsidDel="00000000" w:rsidR="00000000" w:rsidRPr="00000000">
        <w:rPr>
          <w:rtl w:val="0"/>
        </w:rPr>
        <w:t xml:space="preserve">Role-plays, scenario planning, site visits where possible.</w:t>
      </w:r>
    </w:p>
    <w:p w:rsidR="00000000" w:rsidDel="00000000" w:rsidP="00000000" w:rsidRDefault="00000000" w:rsidRPr="00000000" w14:paraId="0000001B">
      <w:pPr>
        <w:numPr>
          <w:ilvl w:val="0"/>
          <w:numId w:val="6"/>
        </w:numPr>
        <w:spacing w:after="240" w:before="0" w:beforeAutospacing="0" w:lineRule="auto"/>
        <w:ind w:left="720" w:hanging="360"/>
        <w:rPr/>
      </w:pPr>
      <w:r w:rsidDel="00000000" w:rsidR="00000000" w:rsidRPr="00000000">
        <w:rPr>
          <w:rtl w:val="0"/>
        </w:rPr>
        <w:t xml:space="preserve">Participants: students, young professionals, municipal staff, tourism board reps.</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Expected Outcomes</w:t>
      </w:r>
    </w:p>
    <w:p w:rsidR="00000000" w:rsidDel="00000000" w:rsidP="00000000" w:rsidRDefault="00000000" w:rsidRPr="00000000" w14:paraId="0000001D">
      <w:pPr>
        <w:numPr>
          <w:ilvl w:val="0"/>
          <w:numId w:val="5"/>
        </w:numPr>
        <w:spacing w:after="0" w:afterAutospacing="0" w:before="240" w:lineRule="auto"/>
        <w:ind w:left="720" w:hanging="360"/>
        <w:rPr/>
      </w:pPr>
      <w:r w:rsidDel="00000000" w:rsidR="00000000" w:rsidRPr="00000000">
        <w:rPr>
          <w:rtl w:val="0"/>
        </w:rPr>
        <w:t xml:space="preserve">A compendium of good practices / policy briefs.</w:t>
      </w:r>
    </w:p>
    <w:p w:rsidR="00000000" w:rsidDel="00000000" w:rsidP="00000000" w:rsidRDefault="00000000" w:rsidRPr="00000000" w14:paraId="0000001E">
      <w:pPr>
        <w:numPr>
          <w:ilvl w:val="0"/>
          <w:numId w:val="5"/>
        </w:numPr>
        <w:spacing w:after="0" w:afterAutospacing="0" w:before="0" w:beforeAutospacing="0" w:lineRule="auto"/>
        <w:ind w:left="720" w:hanging="360"/>
        <w:rPr/>
      </w:pPr>
      <w:r w:rsidDel="00000000" w:rsidR="00000000" w:rsidRPr="00000000">
        <w:rPr>
          <w:rtl w:val="0"/>
        </w:rPr>
        <w:t xml:space="preserve">A working curriculum and training modules.</w:t>
      </w:r>
    </w:p>
    <w:p w:rsidR="00000000" w:rsidDel="00000000" w:rsidP="00000000" w:rsidRDefault="00000000" w:rsidRPr="00000000" w14:paraId="0000001F">
      <w:pPr>
        <w:numPr>
          <w:ilvl w:val="0"/>
          <w:numId w:val="5"/>
        </w:numPr>
        <w:spacing w:after="0" w:afterAutospacing="0" w:before="0" w:beforeAutospacing="0" w:lineRule="auto"/>
        <w:ind w:left="720" w:hanging="360"/>
        <w:rPr/>
      </w:pPr>
      <w:r w:rsidDel="00000000" w:rsidR="00000000" w:rsidRPr="00000000">
        <w:rPr>
          <w:rtl w:val="0"/>
        </w:rPr>
        <w:t xml:space="preserve">Improved capacity among future leaders to plan and manage sustainable &amp; balanced tourism.</w:t>
      </w:r>
    </w:p>
    <w:p w:rsidR="00000000" w:rsidDel="00000000" w:rsidP="00000000" w:rsidRDefault="00000000" w:rsidRPr="00000000" w14:paraId="00000020">
      <w:pPr>
        <w:numPr>
          <w:ilvl w:val="0"/>
          <w:numId w:val="5"/>
        </w:numPr>
        <w:spacing w:after="240" w:before="0" w:beforeAutospacing="0" w:lineRule="auto"/>
        <w:ind w:left="720" w:hanging="360"/>
        <w:rPr/>
      </w:pPr>
      <w:r w:rsidDel="00000000" w:rsidR="00000000" w:rsidRPr="00000000">
        <w:rPr>
          <w:rtl w:val="0"/>
        </w:rPr>
        <w:t xml:space="preserve">Increased awareness among stakeholders of how to prevent overtourism and share tourism more evenly.</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Impact</w:t>
      </w:r>
    </w:p>
    <w:p w:rsidR="00000000" w:rsidDel="00000000" w:rsidP="00000000" w:rsidRDefault="00000000" w:rsidRPr="00000000" w14:paraId="00000022">
      <w:pPr>
        <w:numPr>
          <w:ilvl w:val="0"/>
          <w:numId w:val="2"/>
        </w:numPr>
        <w:spacing w:after="0" w:afterAutospacing="0" w:before="240" w:lineRule="auto"/>
        <w:ind w:left="720" w:hanging="360"/>
        <w:rPr/>
      </w:pPr>
      <w:r w:rsidDel="00000000" w:rsidR="00000000" w:rsidRPr="00000000">
        <w:rPr>
          <w:rtl w:val="0"/>
        </w:rPr>
        <w:t xml:space="preserve">Medium/long term: more sustainable, more balanced tourism development; better quality of life for local communities; more resilient destinations; reduction in negative impacts in overtouristed places; growth in lower-visited areas.</w:t>
      </w:r>
    </w:p>
    <w:p w:rsidR="00000000" w:rsidDel="00000000" w:rsidP="00000000" w:rsidRDefault="00000000" w:rsidRPr="00000000" w14:paraId="00000023">
      <w:pPr>
        <w:numPr>
          <w:ilvl w:val="0"/>
          <w:numId w:val="2"/>
        </w:numPr>
        <w:spacing w:after="240" w:before="0" w:beforeAutospacing="0" w:lineRule="auto"/>
        <w:ind w:left="720" w:hanging="360"/>
        <w:rPr/>
      </w:pPr>
      <w:r w:rsidDel="00000000" w:rsidR="00000000" w:rsidRPr="00000000">
        <w:rPr>
          <w:rtl w:val="0"/>
        </w:rPr>
        <w:t xml:space="preserve">Contribution to EU priorities: Green Deal, sustainable tourism, inclusive growth, climate action.</w:t>
      </w:r>
    </w:p>
    <w:p w:rsidR="00000000" w:rsidDel="00000000" w:rsidP="00000000" w:rsidRDefault="00000000" w:rsidRPr="00000000" w14:paraId="00000024">
      <w:pPr>
        <w:rPr/>
      </w:pPr>
      <w:r w:rsidDel="00000000" w:rsidR="00000000" w:rsidRPr="00000000">
        <w:rPr>
          <w:rtl w:val="0"/>
        </w:rPr>
        <w:t xml:space="preserve">Recommended activity and task structure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Activity 1: PM</w:t>
      </w:r>
    </w:p>
    <w:p w:rsidR="00000000" w:rsidDel="00000000" w:rsidP="00000000" w:rsidRDefault="00000000" w:rsidRPr="00000000" w14:paraId="00000027">
      <w:pPr>
        <w:rPr/>
      </w:pPr>
      <w:r w:rsidDel="00000000" w:rsidR="00000000" w:rsidRPr="00000000">
        <w:rPr>
          <w:rtl w:val="0"/>
        </w:rPr>
        <w:t xml:space="preserve">Activity 2: State of the art on sustainable and smart tourism good practices</w:t>
      </w:r>
    </w:p>
    <w:p w:rsidR="00000000" w:rsidDel="00000000" w:rsidP="00000000" w:rsidRDefault="00000000" w:rsidRPr="00000000" w14:paraId="00000028">
      <w:pPr>
        <w:rPr/>
      </w:pPr>
      <w:r w:rsidDel="00000000" w:rsidR="00000000" w:rsidRPr="00000000">
        <w:rPr>
          <w:rtl w:val="0"/>
        </w:rPr>
        <w:t xml:space="preserve">T1: Desk and field research on successful cases based on EDEN, European Green Pioneer, European Capital of Smart Tourism awards</w:t>
      </w:r>
    </w:p>
    <w:p w:rsidR="00000000" w:rsidDel="00000000" w:rsidP="00000000" w:rsidRDefault="00000000" w:rsidRPr="00000000" w14:paraId="00000029">
      <w:pPr>
        <w:rPr/>
      </w:pPr>
      <w:r w:rsidDel="00000000" w:rsidR="00000000" w:rsidRPr="00000000">
        <w:rPr>
          <w:rtl w:val="0"/>
        </w:rPr>
        <w:t xml:space="preserve">T2: Report development</w:t>
      </w:r>
    </w:p>
    <w:p w:rsidR="00000000" w:rsidDel="00000000" w:rsidP="00000000" w:rsidRDefault="00000000" w:rsidRPr="00000000" w14:paraId="0000002A">
      <w:pPr>
        <w:rPr/>
      </w:pPr>
      <w:r w:rsidDel="00000000" w:rsidR="00000000" w:rsidRPr="00000000">
        <w:rPr>
          <w:rtl w:val="0"/>
        </w:rPr>
        <w:t xml:space="preserve">T3: QA process </w:t>
      </w:r>
    </w:p>
    <w:p w:rsidR="00000000" w:rsidDel="00000000" w:rsidP="00000000" w:rsidRDefault="00000000" w:rsidRPr="00000000" w14:paraId="0000002B">
      <w:pPr>
        <w:rPr/>
      </w:pPr>
      <w:r w:rsidDel="00000000" w:rsidR="00000000" w:rsidRPr="00000000">
        <w:rPr>
          <w:rtl w:val="0"/>
        </w:rPr>
        <w:t xml:space="preserve">T4: Finalisation and translation</w:t>
      </w:r>
    </w:p>
    <w:p w:rsidR="00000000" w:rsidDel="00000000" w:rsidP="00000000" w:rsidRDefault="00000000" w:rsidRPr="00000000" w14:paraId="0000002C">
      <w:pPr>
        <w:rPr/>
      </w:pPr>
      <w:r w:rsidDel="00000000" w:rsidR="00000000" w:rsidRPr="00000000">
        <w:rPr>
          <w:rtl w:val="0"/>
        </w:rPr>
        <w:t xml:space="preserve">Activity 3: Training curriculum development for young students acting as future tourism and city leaders on sustainable and smart tourism</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T1: Training development</w:t>
      </w:r>
    </w:p>
    <w:p w:rsidR="00000000" w:rsidDel="00000000" w:rsidP="00000000" w:rsidRDefault="00000000" w:rsidRPr="00000000" w14:paraId="0000002E">
      <w:pPr>
        <w:rPr/>
      </w:pPr>
      <w:r w:rsidDel="00000000" w:rsidR="00000000" w:rsidRPr="00000000">
        <w:rPr>
          <w:rtl w:val="0"/>
        </w:rPr>
        <w:t xml:space="preserve">T2: Piloting </w:t>
      </w:r>
    </w:p>
    <w:p w:rsidR="00000000" w:rsidDel="00000000" w:rsidP="00000000" w:rsidRDefault="00000000" w:rsidRPr="00000000" w14:paraId="0000002F">
      <w:pPr>
        <w:rPr/>
      </w:pPr>
      <w:r w:rsidDel="00000000" w:rsidR="00000000" w:rsidRPr="00000000">
        <w:rPr>
          <w:rtl w:val="0"/>
        </w:rPr>
        <w:t xml:space="preserve">T3: Finalisation and translation</w:t>
      </w:r>
    </w:p>
    <w:p w:rsidR="00000000" w:rsidDel="00000000" w:rsidP="00000000" w:rsidRDefault="00000000" w:rsidRPr="00000000" w14:paraId="00000030">
      <w:pPr>
        <w:rPr/>
      </w:pPr>
      <w:r w:rsidDel="00000000" w:rsidR="00000000" w:rsidRPr="00000000">
        <w:rPr>
          <w:rtl w:val="0"/>
        </w:rPr>
        <w:t xml:space="preserve">Activity 4: Dissemination and workshops</w:t>
      </w:r>
    </w:p>
    <w:p w:rsidR="00000000" w:rsidDel="00000000" w:rsidP="00000000" w:rsidRDefault="00000000" w:rsidRPr="00000000" w14:paraId="00000031">
      <w:pPr>
        <w:rPr/>
      </w:pPr>
      <w:r w:rsidDel="00000000" w:rsidR="00000000" w:rsidRPr="00000000">
        <w:rPr>
          <w:rtl w:val="0"/>
        </w:rPr>
        <w:t xml:space="preserve">T1: Dissemination and sustainability plan development</w:t>
      </w:r>
    </w:p>
    <w:p w:rsidR="00000000" w:rsidDel="00000000" w:rsidP="00000000" w:rsidRDefault="00000000" w:rsidRPr="00000000" w14:paraId="00000032">
      <w:pPr>
        <w:rPr/>
      </w:pPr>
      <w:r w:rsidDel="00000000" w:rsidR="00000000" w:rsidRPr="00000000">
        <w:rPr>
          <w:rtl w:val="0"/>
        </w:rPr>
        <w:t xml:space="preserve">T2: Workshops</w:t>
      </w:r>
    </w:p>
    <w:p w:rsidR="00000000" w:rsidDel="00000000" w:rsidP="00000000" w:rsidRDefault="00000000" w:rsidRPr="00000000" w14:paraId="00000033">
      <w:pPr>
        <w:rPr/>
      </w:pPr>
      <w:commentRangeStart w:id="0"/>
      <w:r w:rsidDel="00000000" w:rsidR="00000000" w:rsidRPr="00000000">
        <w:rPr>
          <w:rtl w:val="0"/>
        </w:rPr>
        <w:t xml:space="preserve">T3: Policy recommendations on sustainable and smart tourism</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Τ4: QA assurance</w:t>
      </w:r>
    </w:p>
    <w:p w:rsidR="00000000" w:rsidDel="00000000" w:rsidP="00000000" w:rsidRDefault="00000000" w:rsidRPr="00000000" w14:paraId="00000035">
      <w:pPr>
        <w:rPr/>
      </w:pPr>
      <w:r w:rsidDel="00000000" w:rsidR="00000000" w:rsidRPr="00000000">
        <w:rPr>
          <w:rtl w:val="0"/>
        </w:rPr>
        <w:t xml:space="preserve">T5: Finalisation and translation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w:t>
      </w:r>
      <w:r w:rsidDel="00000000" w:rsidR="00000000" w:rsidRPr="00000000">
        <w:rPr>
          <w:b w:val="1"/>
          <w:rtl w:val="0"/>
        </w:rPr>
        <w:t xml:space="preserve">European Commission study on unbalanced tourism growth</w:t>
      </w:r>
      <w:r w:rsidDel="00000000" w:rsidR="00000000" w:rsidRPr="00000000">
        <w:rPr>
          <w:rtl w:val="0"/>
        </w:rPr>
        <w:t xml:space="preserve"> (2019) to highlight the urgency.</w:t>
        <w:br w:type="textWrapping"/>
      </w:r>
    </w:p>
    <w:p w:rsidR="00000000" w:rsidDel="00000000" w:rsidP="00000000" w:rsidRDefault="00000000" w:rsidRPr="00000000" w14:paraId="00000039">
      <w:pPr>
        <w:rPr/>
      </w:pPr>
      <w:r w:rsidDel="00000000" w:rsidR="00000000" w:rsidRPr="00000000">
        <w:rPr>
          <w:rtl w:val="0"/>
        </w:rPr>
        <w:t xml:space="preserve">The </w:t>
      </w:r>
      <w:r w:rsidDel="00000000" w:rsidR="00000000" w:rsidRPr="00000000">
        <w:rPr>
          <w:b w:val="1"/>
          <w:rtl w:val="0"/>
        </w:rPr>
        <w:t xml:space="preserve">Transition Pathways for Tourism analysis</w:t>
      </w:r>
      <w:r w:rsidDel="00000000" w:rsidR="00000000" w:rsidRPr="00000000">
        <w:rPr>
          <w:rtl w:val="0"/>
        </w:rPr>
        <w:t xml:space="preserve"> (2023) which stresses uneven flows and sustainability gaps.</w:t>
        <w:br w:type="textWrapping"/>
      </w:r>
    </w:p>
    <w:p w:rsidR="00000000" w:rsidDel="00000000" w:rsidP="00000000" w:rsidRDefault="00000000" w:rsidRPr="00000000" w14:paraId="0000003A">
      <w:pPr>
        <w:rPr/>
      </w:pPr>
      <w:r w:rsidDel="00000000" w:rsidR="00000000" w:rsidRPr="00000000">
        <w:rPr>
          <w:rtl w:val="0"/>
        </w:rPr>
        <w:t xml:space="preserve">The </w:t>
      </w:r>
      <w:r w:rsidDel="00000000" w:rsidR="00000000" w:rsidRPr="00000000">
        <w:rPr>
          <w:b w:val="1"/>
          <w:rtl w:val="0"/>
        </w:rPr>
        <w:t xml:space="preserve">best practice library of the Smart Tourism competitions</w:t>
      </w:r>
      <w:r w:rsidDel="00000000" w:rsidR="00000000" w:rsidRPr="00000000">
        <w:rPr>
          <w:rtl w:val="0"/>
        </w:rPr>
        <w:t xml:space="preserve"> to show concrete case-based knowledge.</w:t>
      </w:r>
    </w:p>
    <w:p w:rsidR="00000000" w:rsidDel="00000000" w:rsidP="00000000" w:rsidRDefault="00000000" w:rsidRPr="00000000" w14:paraId="0000003B">
      <w:pPr>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eorge Tsiliopoulos" w:id="0" w:date="2025-09-11T14:20:14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Είναι υπερβολή; Γιατί μου μοιάζει αρκετά άδειο το task structure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