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otham" w:cs="Gotham" w:eastAsia="Gotham" w:hAnsi="Gotham"/>
          <w:b w:val="1"/>
          <w:color w:val="0f243e"/>
          <w:sz w:val="40"/>
          <w:szCs w:val="4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43583212"/>
        <w:tag w:val="goog_rdk_0"/>
      </w:sdtPr>
      <w:sdtContent>
        <w:tbl>
          <w:tblPr>
            <w:tblStyle w:val="Table1"/>
            <w:tblW w:w="97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930"/>
            <w:tblGridChange w:id="0">
              <w:tblGrid>
                <w:gridCol w:w="2790"/>
                <w:gridCol w:w="6930"/>
              </w:tblGrid>
            </w:tblGridChange>
          </w:tblGrid>
          <w:tr>
            <w:trPr>
              <w:cantSplit w:val="0"/>
              <w:trHeight w:val="504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Program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Erasmus+ 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Call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KA220 Youth - 2° round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Budget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250.000 €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Deadline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1° October 2025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Project Promoter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Euside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Title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Youth 4.0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Priorities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numPr>
                    <w:ilvl w:val="0"/>
                    <w:numId w:val="2"/>
                  </w:numPr>
                  <w:shd w:fill="ffffff" w:val="clear"/>
                  <w:spacing w:line="240" w:lineRule="auto"/>
                  <w:ind w:left="720" w:hanging="36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HORIZONTAL: Addressing digital transformation through development of digital readiness, resilience and capacity</w:t>
                </w:r>
              </w:p>
              <w:p w:rsidR="00000000" w:rsidDel="00000000" w:rsidP="00000000" w:rsidRDefault="00000000" w:rsidRPr="00000000" w14:paraId="00000012">
                <w:pPr>
                  <w:numPr>
                    <w:ilvl w:val="0"/>
                    <w:numId w:val="2"/>
                  </w:numPr>
                  <w:shd w:fill="ffffff" w:val="clear"/>
                  <w:spacing w:line="240" w:lineRule="auto"/>
                  <w:ind w:left="720" w:hanging="36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YOUTH: Strengthening the employability of young people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Topics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i w:val="1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color w:val="0f243e"/>
                    <w:sz w:val="20"/>
                    <w:szCs w:val="20"/>
                    <w:rtl w:val="0"/>
                  </w:rPr>
                  <w:t xml:space="preserve">Digital literacy skills and competences</w:t>
                </w:r>
              </w:p>
              <w:p w:rsidR="00000000" w:rsidDel="00000000" w:rsidP="00000000" w:rsidRDefault="00000000" w:rsidRPr="00000000" w14:paraId="00000015">
                <w:pPr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color w:val="0f243e"/>
                    <w:sz w:val="19"/>
                    <w:szCs w:val="19"/>
                  </w:rPr>
                </w:pPr>
                <w:r w:rsidDel="00000000" w:rsidR="00000000" w:rsidRPr="00000000">
                  <w:rPr>
                    <w:i w:val="1"/>
                    <w:color w:val="0f243e"/>
                    <w:sz w:val="20"/>
                    <w:szCs w:val="20"/>
                    <w:rtl w:val="0"/>
                  </w:rPr>
                  <w:t xml:space="preserve">Employability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color w:val="0f243e"/>
                    <w:sz w:val="19"/>
                    <w:szCs w:val="19"/>
                  </w:rPr>
                </w:pPr>
                <w:r w:rsidDel="00000000" w:rsidR="00000000" w:rsidRPr="00000000">
                  <w:rPr>
                    <w:i w:val="1"/>
                    <w:color w:val="0f243e"/>
                    <w:sz w:val="20"/>
                    <w:szCs w:val="20"/>
                    <w:rtl w:val="0"/>
                  </w:rPr>
                  <w:t xml:space="preserve">Overcoming skills mismatch and addressing the needs of the labour market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hd w:fill="ffffff" w:val="clear"/>
                  <w:spacing w:line="240" w:lineRule="auto"/>
                  <w:ind w:left="0" w:firstLine="0"/>
                  <w:rPr>
                    <w:color w:val="0f243e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shd w:fill="ffffff" w:val="clear"/>
                  <w:spacing w:line="240" w:lineRule="auto"/>
                  <w:ind w:left="0" w:firstLine="0"/>
                  <w:rPr>
                    <w:color w:val="0f243e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gridSpan w:val="2"/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Project Proposal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Objectives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Equip young people with Industry 4.0 competences (digital marketing, e-commerce, web development, data literacy) to enhance their employability and entrepreneurial capacity.</w:t>
                  <w:br w:type="textWrapping"/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Support the modernisation of local SMEs by connecting them with young professionals trained in digital tools and innovation processes.</w:t>
                  <w:br w:type="textWrapping"/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f243e"/>
                    <w:sz w:val="20"/>
                    <w:szCs w:val="20"/>
                    <w:rtl w:val="0"/>
                  </w:rPr>
                  <w:t xml:space="preserve">Promote transnational cooperation and knowledge transfer in the field of digital transformation and youth entrepreneurship.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ind w:left="0" w:firstLine="0"/>
                  <w:rPr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Target Group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Young people (18–30), especially NEETs or recent graduates with limited access to high-quality digital training.</w:t>
                  <w:br w:type="textWrapping"/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Youth workers and trainers seeking to upgrade their competences in delivering Skills 4.0 learning pathways.</w:t>
                  <w:br w:type="textWrapping"/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Local SMEs and start-ups in need of digitalisation support to remain competitive.</w:t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otham" w:cs="Gotham" w:eastAsia="Gotham" w:hAnsi="Gotham"/>
                    <w:color w:val="0f243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90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Needs Analysis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numPr>
                    <w:ilvl w:val="0"/>
                    <w:numId w:val="3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Many young people in Europe lack the practical skills required by the evolving labour market: coding basics, digital marketing, platform economy, e-commerce strategies.</w:t>
                  <w:br w:type="textWrapping"/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numPr>
                    <w:ilvl w:val="0"/>
                    <w:numId w:val="3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SMEs in rural and peripheral areas struggle to adapt to the digital transition due to limited resources and expertise.</w:t>
                  <w:br w:type="textWrapping"/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numPr>
                    <w:ilvl w:val="0"/>
                    <w:numId w:val="3"/>
                  </w:numPr>
                  <w:spacing w:line="240" w:lineRule="auto"/>
                  <w:ind w:left="720" w:hanging="360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There is a gap between academic training and the real needs of the labour market, leaving youth without job-ready competences and companies without skilled profiles.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Work Packages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WP1 – Project Management &amp; Quality Assurance</w:t>
                  <w:br w:type="textWrapping"/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WP2 – Curriculum Design &amp; Training Materials</w:t>
                  <w:br w:type="textWrapping"/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WP3 – Training &amp; Mentorship Programme</w:t>
                  <w:br w:type="textWrapping"/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WP4 – Digital Innovation Labs</w:t>
                  <w:br w:type="textWrapping"/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WP5 – Dissemination, Exploitation &amp; Sustainability</w:t>
                </w:r>
              </w:p>
            </w:tc>
          </w:tr>
          <w:tr>
            <w:trPr>
              <w:cantSplit w:val="0"/>
              <w:trHeight w:val="489.9609375" w:hRule="atLeast"/>
              <w:tblHeader w:val="0"/>
            </w:trPr>
            <w:tc>
              <w:tcPr>
                <w:shd w:fill="17365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Impact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Short-term: At least X young people trained with employable digital skills; SMEs supported in adopting basic digital tools.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Medium-term: Improved employability rates among young participants and increased competitiveness of SMEs through digital modernisation.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spacing w:after="240" w:before="240" w:line="240" w:lineRule="auto"/>
                  <w:rPr>
                    <w:rFonts w:ascii="Gotham" w:cs="Gotham" w:eastAsia="Gotham" w:hAnsi="Gotham"/>
                    <w:color w:val="0f243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otham" w:cs="Gotham" w:eastAsia="Gotham" w:hAnsi="Gotham"/>
                    <w:color w:val="0f243e"/>
                    <w:sz w:val="20"/>
                    <w:szCs w:val="20"/>
                    <w:rtl w:val="0"/>
                  </w:rPr>
                  <w:t xml:space="preserve">Long-term: Creation of a sustainable transnational Skills 4.0 network that continues to connect young people, trainers, and SMEs, contributing to EU digital transition goals.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rFonts w:ascii="Gotham" w:cs="Gotham" w:eastAsia="Gotham" w:hAnsi="Gotham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otha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3762375</wp:posOffset>
          </wp:positionH>
          <wp:positionV relativeFrom="paragraph">
            <wp:posOffset>-443755</wp:posOffset>
          </wp:positionV>
          <wp:extent cx="3838575" cy="187642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917" l="0" r="35416" t="40038"/>
                  <a:stretch>
                    <a:fillRect/>
                  </a:stretch>
                </pic:blipFill>
                <pic:spPr>
                  <a:xfrm>
                    <a:off x="0" y="0"/>
                    <a:ext cx="3838575" cy="1876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-151761</wp:posOffset>
          </wp:positionV>
          <wp:extent cx="1976438" cy="607572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8938" l="7532" r="8492" t="20075"/>
                  <a:stretch>
                    <a:fillRect/>
                  </a:stretch>
                </pic:blipFill>
                <pic:spPr>
                  <a:xfrm>
                    <a:off x="0" y="0"/>
                    <a:ext cx="1976438" cy="6075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1238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12386"/>
  </w:style>
  <w:style w:type="paragraph" w:styleId="Pidipagina">
    <w:name w:val="footer"/>
    <w:basedOn w:val="Normale"/>
    <w:link w:val="PidipaginaCarattere"/>
    <w:uiPriority w:val="99"/>
    <w:unhideWhenUsed w:val="1"/>
    <w:rsid w:val="0021238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12386"/>
  </w:style>
  <w:style w:type="table" w:styleId="Grigliatabella">
    <w:name w:val="Table Grid"/>
    <w:basedOn w:val="Tabellanormale"/>
    <w:uiPriority w:val="39"/>
    <w:rsid w:val="00375BD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D33D66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5VxztNrpUuxcOvS4umJy/RQrpA==">CgMxLjAaHwoBMBIaChgICVIUChJ0YWJsZS4zY3V2NHl5d2c4cjE4AHIhMWtXXzM3YjFoSHJQdDQtV2ZJeXdZNlEtWXZueUNWdU9C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2025-02-06T00:52:00Z</dcterms:created>
  <dc:creator>Giorgio Mazzara</dc:creator>
</cp:coreProperties>
</file>