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Gotham" w:cs="Gotham" w:eastAsia="Gotham" w:hAnsi="Gotham"/>
          <w:b w:val="1"/>
          <w:color w:val="0f243e"/>
          <w:sz w:val="40"/>
          <w:szCs w:val="40"/>
        </w:rPr>
      </w:pPr>
      <w:r w:rsidDel="00000000" w:rsidR="00000000" w:rsidRPr="00000000">
        <w:rPr>
          <w:rtl w:val="0"/>
        </w:rPr>
      </w:r>
    </w:p>
    <w:sdt>
      <w:sdtPr>
        <w:lock w:val="contentLocked"/>
        <w:id w:val="1814241178"/>
        <w:tag w:val="goog_rdk_0"/>
      </w:sdtPr>
      <w:sdtContent>
        <w:tbl>
          <w:tblPr>
            <w:tblStyle w:val="Table1"/>
            <w:tblW w:w="9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6915"/>
            <w:tblGridChange w:id="0">
              <w:tblGrid>
                <w:gridCol w:w="2805"/>
                <w:gridCol w:w="6915"/>
              </w:tblGrid>
            </w:tblGridChange>
          </w:tblGrid>
          <w:tr>
            <w:trPr>
              <w:cantSplit w:val="0"/>
              <w:trHeight w:val="504.9609375" w:hRule="atLeast"/>
              <w:tblHeader w:val="0"/>
            </w:trPr>
            <w:tc>
              <w:tcPr>
                <w:shd w:fill="17365d"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otham" w:cs="Gotham" w:eastAsia="Gotham" w:hAnsi="Gotham"/>
                    <w:color w:val="0f243e"/>
                    <w:sz w:val="20"/>
                    <w:szCs w:val="20"/>
                  </w:rPr>
                </w:pPr>
                <w:r w:rsidDel="00000000" w:rsidR="00000000" w:rsidRPr="00000000">
                  <w:rPr>
                    <w:rFonts w:ascii="Gotham" w:cs="Gotham" w:eastAsia="Gotham" w:hAnsi="Gotham"/>
                    <w:color w:val="0f243e"/>
                    <w:sz w:val="20"/>
                    <w:szCs w:val="20"/>
                    <w:rtl w:val="0"/>
                  </w:rPr>
                  <w:t xml:space="preserve">Erasmus+</w:t>
                </w:r>
              </w:p>
            </w:tc>
          </w:tr>
          <w:tr>
            <w:trPr>
              <w:cantSplit w:val="0"/>
              <w:trHeight w:val="489.9609375" w:hRule="atLeast"/>
              <w:tblHeader w:val="0"/>
            </w:trPr>
            <w:tc>
              <w:tcPr>
                <w:shd w:fill="17365d"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36"/>
                    <w:szCs w:val="36"/>
                  </w:rPr>
                </w:pPr>
                <w:r w:rsidDel="00000000" w:rsidR="00000000" w:rsidRPr="00000000">
                  <w:rPr>
                    <w:b w:val="1"/>
                    <w:color w:val="ffffff"/>
                    <w:sz w:val="20"/>
                    <w:szCs w:val="20"/>
                    <w:rtl w:val="0"/>
                  </w:rPr>
                  <w:t xml:space="preserve">Call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otham" w:cs="Gotham" w:eastAsia="Gotham" w:hAnsi="Gotham"/>
                    <w:color w:val="0f243e"/>
                    <w:sz w:val="20"/>
                    <w:szCs w:val="20"/>
                  </w:rPr>
                </w:pPr>
                <w:r w:rsidDel="00000000" w:rsidR="00000000" w:rsidRPr="00000000">
                  <w:rPr>
                    <w:rFonts w:ascii="Gotham" w:cs="Gotham" w:eastAsia="Gotham" w:hAnsi="Gotham"/>
                    <w:color w:val="0f243e"/>
                    <w:sz w:val="20"/>
                    <w:szCs w:val="20"/>
                    <w:rtl w:val="0"/>
                  </w:rPr>
                  <w:t xml:space="preserve">KA220 YOU / Youth</w:t>
                </w:r>
              </w:p>
            </w:tc>
          </w:tr>
          <w:tr>
            <w:trPr>
              <w:cantSplit w:val="0"/>
              <w:trHeight w:val="489.9609375" w:hRule="atLeast"/>
              <w:tblHeader w:val="0"/>
            </w:trPr>
            <w:tc>
              <w:tcPr>
                <w:shd w:fill="17365d"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Budget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otham" w:cs="Gotham" w:eastAsia="Gotham" w:hAnsi="Gotham"/>
                    <w:color w:val="0f243e"/>
                    <w:sz w:val="20"/>
                    <w:szCs w:val="20"/>
                  </w:rPr>
                </w:pPr>
                <w:r w:rsidDel="00000000" w:rsidR="00000000" w:rsidRPr="00000000">
                  <w:rPr>
                    <w:rFonts w:ascii="Gotham" w:cs="Gotham" w:eastAsia="Gotham" w:hAnsi="Gotham"/>
                    <w:color w:val="0f243e"/>
                    <w:sz w:val="20"/>
                    <w:szCs w:val="20"/>
                    <w:rtl w:val="0"/>
                  </w:rPr>
                  <w:t xml:space="preserve">€120,000 – €250,000</w:t>
                </w:r>
              </w:p>
            </w:tc>
          </w:tr>
          <w:tr>
            <w:trPr>
              <w:cantSplit w:val="0"/>
              <w:trHeight w:val="489.9609375" w:hRule="atLeast"/>
              <w:tblHeader w:val="0"/>
            </w:trPr>
            <w:tc>
              <w:tcPr>
                <w:shd w:fill="17365d"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36"/>
                    <w:szCs w:val="36"/>
                  </w:rPr>
                </w:pPr>
                <w:r w:rsidDel="00000000" w:rsidR="00000000" w:rsidRPr="00000000">
                  <w:rPr>
                    <w:b w:val="1"/>
                    <w:color w:val="ffffff"/>
                    <w:sz w:val="20"/>
                    <w:szCs w:val="20"/>
                    <w:rtl w:val="0"/>
                  </w:rPr>
                  <w:t xml:space="preserve">Deadline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otham" w:cs="Gotham" w:eastAsia="Gotham" w:hAnsi="Gotham"/>
                    <w:color w:val="0f243e"/>
                    <w:sz w:val="20"/>
                    <w:szCs w:val="20"/>
                  </w:rPr>
                </w:pPr>
                <w:r w:rsidDel="00000000" w:rsidR="00000000" w:rsidRPr="00000000">
                  <w:rPr>
                    <w:rFonts w:ascii="Gotham" w:cs="Gotham" w:eastAsia="Gotham" w:hAnsi="Gotham"/>
                    <w:color w:val="0f243e"/>
                    <w:sz w:val="20"/>
                    <w:szCs w:val="20"/>
                    <w:rtl w:val="0"/>
                  </w:rPr>
                  <w:t xml:space="preserve">1st October 2025</w:t>
                </w:r>
              </w:p>
            </w:tc>
          </w:tr>
          <w:tr>
            <w:trPr>
              <w:cantSplit w:val="0"/>
              <w:trHeight w:val="489.9609375" w:hRule="atLeast"/>
              <w:tblHeader w:val="0"/>
            </w:trPr>
            <w:tc>
              <w:tcPr>
                <w:shd w:fill="17365d"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Project Promoter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otham" w:cs="Gotham" w:eastAsia="Gotham" w:hAnsi="Gotham"/>
                    <w:color w:val="0f243e"/>
                    <w:sz w:val="20"/>
                    <w:szCs w:val="20"/>
                  </w:rPr>
                </w:pPr>
                <w:r w:rsidDel="00000000" w:rsidR="00000000" w:rsidRPr="00000000">
                  <w:rPr>
                    <w:rFonts w:ascii="Gotham" w:cs="Gotham" w:eastAsia="Gotham" w:hAnsi="Gotham"/>
                    <w:color w:val="0f243e"/>
                    <w:sz w:val="20"/>
                    <w:szCs w:val="20"/>
                    <w:rtl w:val="0"/>
                  </w:rPr>
                  <w:t xml:space="preserve">Euside</w:t>
                </w:r>
              </w:p>
            </w:tc>
          </w:tr>
          <w:tr>
            <w:trPr>
              <w:cantSplit w:val="0"/>
              <w:trHeight w:val="489.9609375" w:hRule="atLeast"/>
              <w:tblHeader w:val="0"/>
            </w:trPr>
            <w:tc>
              <w:tcPr>
                <w:shd w:fill="17365d"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otham" w:cs="Gotham" w:eastAsia="Gotham" w:hAnsi="Gotham"/>
                    <w:b w:val="1"/>
                    <w:color w:val="0f243e"/>
                    <w:sz w:val="20"/>
                    <w:szCs w:val="20"/>
                  </w:rPr>
                </w:pPr>
                <w:r w:rsidDel="00000000" w:rsidR="00000000" w:rsidRPr="00000000">
                  <w:rPr>
                    <w:rFonts w:ascii="Gotham" w:cs="Gotham" w:eastAsia="Gotham" w:hAnsi="Gotham"/>
                    <w:b w:val="1"/>
                    <w:color w:val="0f243e"/>
                    <w:sz w:val="20"/>
                    <w:szCs w:val="20"/>
                    <w:rtl w:val="0"/>
                  </w:rPr>
                  <w:t xml:space="preserve">SmartCare Skills: Digital Literacy and AI for a Human-Centered Healthcare</w:t>
                </w:r>
              </w:p>
            </w:tc>
          </w:tr>
          <w:tr>
            <w:trPr>
              <w:cantSplit w:val="0"/>
              <w:trHeight w:val="489.9609375" w:hRule="atLeast"/>
              <w:tblHeader w:val="0"/>
            </w:trPr>
            <w:tc>
              <w:tcPr>
                <w:shd w:fill="17365d"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Priorities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3"/>
                  </w:numPr>
                  <w:spacing w:line="240" w:lineRule="auto"/>
                  <w:ind w:left="720" w:hanging="360"/>
                  <w:rPr>
                    <w:rFonts w:ascii="Gotham" w:cs="Gotham" w:eastAsia="Gotham" w:hAnsi="Gotham"/>
                    <w:color w:val="0f243e"/>
                    <w:u w:val="none"/>
                  </w:rPr>
                </w:pPr>
                <w:r w:rsidDel="00000000" w:rsidR="00000000" w:rsidRPr="00000000">
                  <w:rPr>
                    <w:rFonts w:ascii="inherit" w:cs="inherit" w:eastAsia="inherit" w:hAnsi="inherit"/>
                    <w:color w:val="333333"/>
                    <w:sz w:val="21"/>
                    <w:szCs w:val="21"/>
                    <w:rtl w:val="0"/>
                  </w:rPr>
                  <w:t xml:space="preserve">HORIZONTAL: Addressing digital transformation through development of digital readiness, resilience and capacity</w:t>
                </w:r>
                <w:r w:rsidDel="00000000" w:rsidR="00000000" w:rsidRPr="00000000">
                  <w:rPr>
                    <w:rFonts w:ascii="Gotham" w:cs="Gotham" w:eastAsia="Gotham" w:hAnsi="Gotham"/>
                    <w:color w:val="0f243e"/>
                    <w:rtl w:val="0"/>
                  </w:rPr>
                  <w:br w:type="textWrapping"/>
                </w:r>
                <w:r w:rsidDel="00000000" w:rsidR="00000000" w:rsidRPr="00000000">
                  <w:rPr>
                    <w:rtl w:val="0"/>
                  </w:rPr>
                </w:r>
              </w:p>
              <w:p w:rsidR="00000000" w:rsidDel="00000000" w:rsidP="00000000" w:rsidRDefault="00000000" w:rsidRPr="00000000" w14:paraId="00000012">
                <w:pPr>
                  <w:numPr>
                    <w:ilvl w:val="0"/>
                    <w:numId w:val="3"/>
                  </w:numPr>
                  <w:shd w:fill="ffffff" w:val="clear"/>
                  <w:spacing w:line="240" w:lineRule="auto"/>
                  <w:ind w:left="720" w:hanging="360"/>
                  <w:rPr>
                    <w:rFonts w:ascii="inherit" w:cs="inherit" w:eastAsia="inherit" w:hAnsi="inherit"/>
                    <w:color w:val="333333"/>
                    <w:sz w:val="21"/>
                    <w:szCs w:val="21"/>
                  </w:rPr>
                </w:pPr>
                <w:r w:rsidDel="00000000" w:rsidR="00000000" w:rsidRPr="00000000">
                  <w:rPr>
                    <w:rFonts w:ascii="inherit" w:cs="inherit" w:eastAsia="inherit" w:hAnsi="inherit"/>
                    <w:color w:val="333333"/>
                    <w:sz w:val="21"/>
                    <w:szCs w:val="21"/>
                    <w:rtl w:val="0"/>
                  </w:rPr>
                  <w:t xml:space="preserve">YOUTH: Strengthening the employability of young people</w:t>
                </w:r>
              </w:p>
              <w:p w:rsidR="00000000" w:rsidDel="00000000" w:rsidP="00000000" w:rsidRDefault="00000000" w:rsidRPr="00000000" w14:paraId="00000013">
                <w:pPr>
                  <w:widowControl w:val="0"/>
                  <w:spacing w:line="240" w:lineRule="auto"/>
                  <w:ind w:left="720" w:firstLine="0"/>
                  <w:rPr>
                    <w:rFonts w:ascii="Gotham" w:cs="Gotham" w:eastAsia="Gotham" w:hAnsi="Gotham"/>
                    <w:color w:val="0f243e"/>
                  </w:rPr>
                </w:pPr>
                <w:r w:rsidDel="00000000" w:rsidR="00000000" w:rsidRPr="00000000">
                  <w:rPr>
                    <w:rtl w:val="0"/>
                  </w:rPr>
                </w:r>
              </w:p>
            </w:tc>
          </w:tr>
          <w:tr>
            <w:trPr>
              <w:cantSplit w:val="0"/>
              <w:trHeight w:val="489.9609375" w:hRule="atLeast"/>
              <w:tblHeader w:val="0"/>
            </w:trPr>
            <w:tc>
              <w:tcPr>
                <w:shd w:fill="17365d"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2"/>
                  </w:numPr>
                  <w:spacing w:after="0" w:before="240" w:line="240" w:lineRule="auto"/>
                  <w:ind w:left="720" w:hanging="360"/>
                  <w:rPr>
                    <w:rFonts w:ascii="Gotham" w:cs="Gotham" w:eastAsia="Gotham" w:hAnsi="Gotham"/>
                    <w:color w:val="0f243e"/>
                  </w:rPr>
                </w:pPr>
                <w:r w:rsidDel="00000000" w:rsidR="00000000" w:rsidRPr="00000000">
                  <w:rPr>
                    <w:rFonts w:ascii="inherit" w:cs="inherit" w:eastAsia="inherit" w:hAnsi="inherit"/>
                    <w:color w:val="333333"/>
                    <w:sz w:val="21"/>
                    <w:szCs w:val="21"/>
                    <w:rtl w:val="0"/>
                  </w:rPr>
                  <w:t xml:space="preserve">Digital transformation planning and implementation</w:t>
                </w:r>
                <w:r w:rsidDel="00000000" w:rsidR="00000000" w:rsidRPr="00000000">
                  <w:rPr>
                    <w:rFonts w:ascii="Gotham" w:cs="Gotham" w:eastAsia="Gotham" w:hAnsi="Gotham"/>
                    <w:color w:val="0f243e"/>
                    <w:rtl w:val="0"/>
                  </w:rPr>
                  <w:br w:type="textWrapping"/>
                </w:r>
              </w:p>
              <w:p w:rsidR="00000000" w:rsidDel="00000000" w:rsidP="00000000" w:rsidRDefault="00000000" w:rsidRPr="00000000" w14:paraId="00000016">
                <w:pPr>
                  <w:numPr>
                    <w:ilvl w:val="0"/>
                    <w:numId w:val="2"/>
                  </w:numPr>
                  <w:spacing w:line="240" w:lineRule="auto"/>
                  <w:ind w:left="720" w:hanging="360"/>
                  <w:rPr>
                    <w:rFonts w:ascii="Noto Sans Symbols" w:cs="Noto Sans Symbols" w:eastAsia="Noto Sans Symbols" w:hAnsi="Noto Sans Symbols"/>
                    <w:i w:val="1"/>
                  </w:rPr>
                </w:pPr>
                <w:r w:rsidDel="00000000" w:rsidR="00000000" w:rsidRPr="00000000">
                  <w:rPr>
                    <w:rFonts w:ascii="inherit" w:cs="inherit" w:eastAsia="inherit" w:hAnsi="inherit"/>
                    <w:color w:val="333333"/>
                    <w:sz w:val="21"/>
                    <w:szCs w:val="21"/>
                    <w:rtl w:val="0"/>
                  </w:rPr>
                  <w:t xml:space="preserve">New learning and teaching methods and approaches</w:t>
                </w:r>
              </w:p>
              <w:p w:rsidR="00000000" w:rsidDel="00000000" w:rsidP="00000000" w:rsidRDefault="00000000" w:rsidRPr="00000000" w14:paraId="00000017">
                <w:pPr>
                  <w:spacing w:line="240" w:lineRule="auto"/>
                  <w:ind w:left="720" w:firstLine="0"/>
                  <w:rPr>
                    <w:rFonts w:ascii="inherit" w:cs="inherit" w:eastAsia="inherit" w:hAnsi="inherit"/>
                    <w:color w:val="333333"/>
                    <w:sz w:val="21"/>
                    <w:szCs w:val="21"/>
                  </w:rPr>
                </w:pPr>
                <w:r w:rsidDel="00000000" w:rsidR="00000000" w:rsidRPr="00000000">
                  <w:rPr>
                    <w:rtl w:val="0"/>
                  </w:rPr>
                </w:r>
              </w:p>
              <w:p w:rsidR="00000000" w:rsidDel="00000000" w:rsidP="00000000" w:rsidRDefault="00000000" w:rsidRPr="00000000" w14:paraId="00000018">
                <w:pPr>
                  <w:widowControl w:val="0"/>
                  <w:numPr>
                    <w:ilvl w:val="0"/>
                    <w:numId w:val="2"/>
                  </w:numPr>
                  <w:spacing w:after="0" w:before="0" w:line="240" w:lineRule="auto"/>
                  <w:ind w:left="720" w:hanging="360"/>
                  <w:rPr>
                    <w:rFonts w:ascii="Gotham" w:cs="Gotham" w:eastAsia="Gotham" w:hAnsi="Gotham"/>
                    <w:color w:val="0f243e"/>
                  </w:rPr>
                </w:pPr>
                <w:r w:rsidDel="00000000" w:rsidR="00000000" w:rsidRPr="00000000">
                  <w:rPr>
                    <w:rFonts w:ascii="inherit" w:cs="inherit" w:eastAsia="inherit" w:hAnsi="inherit"/>
                    <w:color w:val="333333"/>
                    <w:sz w:val="21"/>
                    <w:szCs w:val="21"/>
                    <w:rtl w:val="0"/>
                  </w:rPr>
                  <w:t xml:space="preserve">Work-based learning</w:t>
                </w:r>
                <w:r w:rsidDel="00000000" w:rsidR="00000000" w:rsidRPr="00000000">
                  <w:rPr>
                    <w:rFonts w:ascii="Gotham" w:cs="Gotham" w:eastAsia="Gotham" w:hAnsi="Gotham"/>
                    <w:color w:val="0f243e"/>
                    <w:rtl w:val="0"/>
                  </w:rPr>
                  <w:br w:type="textWrapping"/>
                  <w:br w:type="textWrapping"/>
                </w:r>
              </w:p>
            </w:tc>
          </w:tr>
          <w:tr>
            <w:trPr>
              <w:cantSplit w:val="0"/>
              <w:trHeight w:val="489.9609375" w:hRule="atLeast"/>
              <w:tblHeader w:val="0"/>
            </w:trPr>
            <w:tc>
              <w:tcPr>
                <w:gridSpan w:val="2"/>
                <w:shd w:fill="17365d"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r w:rsidDel="00000000" w:rsidR="00000000" w:rsidRPr="00000000">
                  <w:rPr>
                    <w:b w:val="1"/>
                    <w:color w:val="ffffff"/>
                    <w:sz w:val="20"/>
                    <w:szCs w:val="20"/>
                    <w:rtl w:val="0"/>
                  </w:rPr>
                  <w:t xml:space="preserve">Project Proposal</w:t>
                </w:r>
              </w:p>
            </w:tc>
          </w:tr>
          <w:tr>
            <w:trPr>
              <w:cantSplit w:val="0"/>
              <w:trHeight w:val="489.9609375" w:hRule="atLeast"/>
              <w:tblHeader w:val="0"/>
            </w:trPr>
            <w:tc>
              <w:tcPr>
                <w:shd w:fill="17365d"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inherit" w:cs="inherit" w:eastAsia="inherit" w:hAnsi="inherit"/>
                    <w:color w:val="333333"/>
                    <w:sz w:val="21"/>
                    <w:szCs w:val="21"/>
                  </w:rPr>
                </w:pPr>
                <w:r w:rsidDel="00000000" w:rsidR="00000000" w:rsidRPr="00000000">
                  <w:rPr>
                    <w:rFonts w:ascii="inherit" w:cs="inherit" w:eastAsia="inherit" w:hAnsi="inherit"/>
                    <w:color w:val="333333"/>
                    <w:sz w:val="21"/>
                    <w:szCs w:val="21"/>
                    <w:rtl w:val="0"/>
                  </w:rPr>
                  <w:t xml:space="preserve">General Objective</w:t>
                </w:r>
              </w:p>
              <w:p w:rsidR="00000000" w:rsidDel="00000000" w:rsidP="00000000" w:rsidRDefault="00000000" w:rsidRPr="00000000" w14:paraId="0000001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Gotham" w:cs="Gotham" w:eastAsia="Gotham" w:hAnsi="Gotham"/>
                    <w:color w:val="0f243e"/>
                  </w:rPr>
                </w:pPr>
                <w:r w:rsidDel="00000000" w:rsidR="00000000" w:rsidRPr="00000000">
                  <w:rPr>
                    <w:rFonts w:ascii="inherit" w:cs="inherit" w:eastAsia="inherit" w:hAnsi="inherit"/>
                    <w:color w:val="333333"/>
                    <w:sz w:val="21"/>
                    <w:szCs w:val="21"/>
                    <w:rtl w:val="0"/>
                  </w:rPr>
                  <w:t xml:space="preserve">To strengthen the digital readiness and employability of young people preparing to enter the healthcare sector, by equipping them with transversal digital and AI-related skills through inclusive and innovative learning opportunities.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inherit" w:cs="inherit" w:eastAsia="inherit" w:hAnsi="inherit"/>
                    <w:color w:val="333333"/>
                    <w:sz w:val="21"/>
                    <w:szCs w:val="21"/>
                  </w:rPr>
                </w:pPr>
                <w:r w:rsidDel="00000000" w:rsidR="00000000" w:rsidRPr="00000000">
                  <w:rPr>
                    <w:rFonts w:ascii="inherit" w:cs="inherit" w:eastAsia="inherit" w:hAnsi="inherit"/>
                    <w:color w:val="333333"/>
                    <w:sz w:val="21"/>
                    <w:szCs w:val="21"/>
                    <w:rtl w:val="0"/>
                  </w:rPr>
                  <w:t xml:space="preserve">Specific Objectives</w:t>
                  <w:br w:type="textWrapping"/>
                </w:r>
              </w:p>
              <w:p w:rsidR="00000000" w:rsidDel="00000000" w:rsidP="00000000" w:rsidRDefault="00000000" w:rsidRPr="00000000" w14:paraId="0000001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Gotham" w:cs="Gotham" w:eastAsia="Gotham" w:hAnsi="Gotham"/>
                    <w:color w:val="0f243e"/>
                  </w:rPr>
                </w:pPr>
                <w:r w:rsidDel="00000000" w:rsidR="00000000" w:rsidRPr="00000000">
                  <w:rPr>
                    <w:rFonts w:ascii="inherit" w:cs="inherit" w:eastAsia="inherit" w:hAnsi="inherit"/>
                    <w:color w:val="333333"/>
                    <w:sz w:val="21"/>
                    <w:szCs w:val="21"/>
                    <w:rtl w:val="0"/>
                  </w:rPr>
                  <w:t xml:space="preserve">Equip students and early-career professionals with market-relevant digital competences (e.g., electronic health records, telemedicine, data management, ethics of digital health) that improve employability in a rapidly transforming sector.</w:t>
                </w:r>
              </w:p>
              <w:p w:rsidR="00000000" w:rsidDel="00000000" w:rsidP="00000000" w:rsidRDefault="00000000" w:rsidRPr="00000000" w14:paraId="0000002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Gotham" w:cs="Gotham" w:eastAsia="Gotham" w:hAnsi="Gotham"/>
                    <w:color w:val="0f243e"/>
                  </w:rPr>
                </w:pPr>
                <w:r w:rsidDel="00000000" w:rsidR="00000000" w:rsidRPr="00000000">
                  <w:rPr>
                    <w:rFonts w:ascii="inherit" w:cs="inherit" w:eastAsia="inherit" w:hAnsi="inherit"/>
                    <w:color w:val="333333"/>
                    <w:sz w:val="21"/>
                    <w:szCs w:val="21"/>
                    <w:rtl w:val="0"/>
                  </w:rPr>
                  <w:t xml:space="preserve">Provide accessible and modular learning materials (e-learning, PDFs, videos) on generic digital skills and basic AI applications, preparing participants to adapt to future digital challenges in healthcare.</w:t>
                </w:r>
                <w:r w:rsidDel="00000000" w:rsidR="00000000" w:rsidRPr="00000000">
                  <w:rPr>
                    <w:rtl w:val="0"/>
                  </w:rPr>
                </w:r>
              </w:p>
              <w:p w:rsidR="00000000" w:rsidDel="00000000" w:rsidP="00000000" w:rsidRDefault="00000000" w:rsidRPr="00000000" w14:paraId="00000021">
                <w:pPr>
                  <w:widowControl w:val="0"/>
                  <w:spacing w:after="240" w:line="240" w:lineRule="auto"/>
                  <w:ind w:left="0" w:firstLine="0"/>
                  <w:rPr>
                    <w:rFonts w:ascii="Gotham" w:cs="Gotham" w:eastAsia="Gotham" w:hAnsi="Gotham"/>
                    <w:color w:val="0f243e"/>
                    <w:sz w:val="20"/>
                    <w:szCs w:val="20"/>
                  </w:rPr>
                </w:pPr>
                <w:r w:rsidDel="00000000" w:rsidR="00000000" w:rsidRPr="00000000">
                  <w:rPr>
                    <w:rtl w:val="0"/>
                  </w:rPr>
                </w:r>
              </w:p>
            </w:tc>
          </w:tr>
          <w:tr>
            <w:trPr>
              <w:cantSplit w:val="0"/>
              <w:trHeight w:val="489.9609375" w:hRule="atLeast"/>
              <w:tblHeader w:val="0"/>
            </w:trPr>
            <w:tc>
              <w:tcPr>
                <w:shd w:fill="17365d"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Target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otham" w:cs="Gotham" w:eastAsia="Gotham" w:hAnsi="Gotham"/>
                    <w:color w:val="0f243e"/>
                  </w:rPr>
                </w:pPr>
                <w:r w:rsidDel="00000000" w:rsidR="00000000" w:rsidRPr="00000000">
                  <w:rPr>
                    <w:rFonts w:ascii="Gotham" w:cs="Gotham" w:eastAsia="Gotham" w:hAnsi="Gotham"/>
                    <w:color w:val="0f243e"/>
                    <w:rtl w:val="0"/>
                  </w:rPr>
                  <w:t xml:space="preserve">University students and young professionals in healthcare: medicine, psychology, nursing, physiotherapy, social care workers, long-term care staff.</w:t>
                </w:r>
              </w:p>
            </w:tc>
          </w:tr>
          <w:tr>
            <w:trPr>
              <w:cantSplit w:val="0"/>
              <w:trHeight w:val="4579.62890625" w:hRule="atLeast"/>
              <w:tblHeader w:val="0"/>
            </w:trPr>
            <w:tc>
              <w:tcPr>
                <w:shd w:fill="17365d"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color w:val="ffffff"/>
                    <w:sz w:val="20"/>
                    <w:szCs w:val="20"/>
                  </w:rPr>
                </w:pPr>
                <w:r w:rsidDel="00000000" w:rsidR="00000000" w:rsidRPr="00000000">
                  <w:rPr>
                    <w:b w:val="1"/>
                    <w:color w:val="ffffff"/>
                    <w:sz w:val="20"/>
                    <w:szCs w:val="20"/>
                    <w:rtl w:val="0"/>
                  </w:rPr>
                  <w:t xml:space="preserve">Needs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240" w:before="240" w:line="240" w:lineRule="auto"/>
                  <w:rPr>
                    <w:rFonts w:ascii="inherit" w:cs="inherit" w:eastAsia="inherit" w:hAnsi="inherit"/>
                    <w:color w:val="333333"/>
                    <w:sz w:val="21"/>
                    <w:szCs w:val="21"/>
                  </w:rPr>
                </w:pPr>
                <w:r w:rsidDel="00000000" w:rsidR="00000000" w:rsidRPr="00000000">
                  <w:rPr>
                    <w:rFonts w:ascii="inherit" w:cs="inherit" w:eastAsia="inherit" w:hAnsi="inherit"/>
                    <w:color w:val="333333"/>
                    <w:sz w:val="21"/>
                    <w:szCs w:val="21"/>
                    <w:rtl w:val="0"/>
                  </w:rPr>
                  <w:t xml:space="preserve">According to WHO/European Observatory (2023), the European health workforce shows substantial deficits in digital skills, especially in the use of digital tools, telemedicine, data management, and basic AI applications.</w:t>
                  <w:br w:type="textWrapping"/>
                </w:r>
              </w:p>
              <w:p w:rsidR="00000000" w:rsidDel="00000000" w:rsidP="00000000" w:rsidRDefault="00000000" w:rsidRPr="00000000" w14:paraId="00000026">
                <w:pPr>
                  <w:widowControl w:val="0"/>
                  <w:spacing w:after="240" w:before="240" w:line="240" w:lineRule="auto"/>
                  <w:rPr>
                    <w:rFonts w:ascii="inherit" w:cs="inherit" w:eastAsia="inherit" w:hAnsi="inherit"/>
                    <w:color w:val="333333"/>
                    <w:sz w:val="21"/>
                    <w:szCs w:val="21"/>
                  </w:rPr>
                </w:pPr>
                <w:r w:rsidDel="00000000" w:rsidR="00000000" w:rsidRPr="00000000">
                  <w:rPr>
                    <w:rFonts w:ascii="inherit" w:cs="inherit" w:eastAsia="inherit" w:hAnsi="inherit"/>
                    <w:color w:val="333333"/>
                    <w:sz w:val="21"/>
                    <w:szCs w:val="21"/>
                    <w:rtl w:val="0"/>
                  </w:rPr>
                  <w:t xml:space="preserve">A review of over 100 European studies (WHO/Europe, 2023) demonstrates that students and young healthcare professionals still have limited digital competencies, often at a basic level, insufficient to effectively integrate innovative technologies into everyday practice.</w:t>
                </w:r>
              </w:p>
              <w:p w:rsidR="00000000" w:rsidDel="00000000" w:rsidP="00000000" w:rsidRDefault="00000000" w:rsidRPr="00000000" w14:paraId="00000027">
                <w:pPr>
                  <w:widowControl w:val="0"/>
                  <w:spacing w:after="240" w:before="240" w:line="240" w:lineRule="auto"/>
                  <w:rPr>
                    <w:rFonts w:ascii="inherit" w:cs="inherit" w:eastAsia="inherit" w:hAnsi="inherit"/>
                    <w:color w:val="333333"/>
                    <w:sz w:val="21"/>
                    <w:szCs w:val="21"/>
                  </w:rPr>
                </w:pPr>
                <w:r w:rsidDel="00000000" w:rsidR="00000000" w:rsidRPr="00000000">
                  <w:rPr>
                    <w:rFonts w:ascii="inherit" w:cs="inherit" w:eastAsia="inherit" w:hAnsi="inherit"/>
                    <w:color w:val="333333"/>
                    <w:sz w:val="21"/>
                    <w:szCs w:val="21"/>
                    <w:rtl w:val="0"/>
                  </w:rPr>
                  <w:t xml:space="preserve">This skills gap affects not only future doctors and nurses, but also psychologists, physiotherapists, social care workers, and long-term care staff, entering sectors still poorly digitalized.</w:t>
                  <w:br w:type="textWrapping"/>
                </w:r>
              </w:p>
              <w:p w:rsidR="00000000" w:rsidDel="00000000" w:rsidP="00000000" w:rsidRDefault="00000000" w:rsidRPr="00000000" w14:paraId="00000028">
                <w:pPr>
                  <w:widowControl w:val="0"/>
                  <w:pBdr>
                    <w:top w:color="auto" w:space="0" w:sz="0" w:val="none"/>
                    <w:bottom w:color="auto" w:space="0" w:sz="0" w:val="none"/>
                    <w:between w:color="auto" w:space="0" w:sz="0" w:val="none"/>
                  </w:pBdr>
                  <w:spacing w:line="240" w:lineRule="auto"/>
                  <w:ind w:left="0" w:firstLine="0"/>
                  <w:rPr>
                    <w:rFonts w:ascii="inherit" w:cs="inherit" w:eastAsia="inherit" w:hAnsi="inherit"/>
                    <w:color w:val="333333"/>
                    <w:sz w:val="21"/>
                    <w:szCs w:val="21"/>
                  </w:rPr>
                </w:pPr>
                <w:r w:rsidDel="00000000" w:rsidR="00000000" w:rsidRPr="00000000">
                  <w:rPr>
                    <w:rFonts w:ascii="inherit" w:cs="inherit" w:eastAsia="inherit" w:hAnsi="inherit"/>
                    <w:color w:val="333333"/>
                    <w:sz w:val="21"/>
                    <w:szCs w:val="21"/>
                    <w:rtl w:val="0"/>
                  </w:rPr>
                  <w:t xml:space="preserve">According to a 2025 systematic review published by BMC Health Services Research, critical AI competency areas healthcare professionals lack include AI fundamentals, data analysis, ethical/legal considerations, communication, and evaluation of AI tools. The review emphasizes that most professionals acquire AI skills independently and calls for formalized, structured educational programs tailored to healthcare settings to address these gaps. It also stresses the importance of regulatory oversight in ensuring ethical AI use.</w:t>
                </w:r>
              </w:p>
              <w:p w:rsidR="00000000" w:rsidDel="00000000" w:rsidP="00000000" w:rsidRDefault="00000000" w:rsidRPr="00000000" w14:paraId="00000029">
                <w:pPr>
                  <w:widowControl w:val="0"/>
                  <w:pBdr>
                    <w:top w:color="auto" w:space="0" w:sz="0" w:val="none"/>
                    <w:bottom w:color="auto" w:space="0" w:sz="0" w:val="none"/>
                    <w:between w:color="auto" w:space="0" w:sz="0" w:val="none"/>
                  </w:pBdr>
                  <w:spacing w:line="240" w:lineRule="auto"/>
                  <w:rPr>
                    <w:rFonts w:ascii="inherit" w:cs="inherit" w:eastAsia="inherit" w:hAnsi="inherit"/>
                    <w:color w:val="333333"/>
                    <w:sz w:val="21"/>
                    <w:szCs w:val="21"/>
                  </w:rPr>
                </w:pPr>
                <w:r w:rsidDel="00000000" w:rsidR="00000000" w:rsidRPr="00000000">
                  <w:rPr>
                    <w:rtl w:val="0"/>
                  </w:rPr>
                </w:r>
              </w:p>
              <w:p w:rsidR="00000000" w:rsidDel="00000000" w:rsidP="00000000" w:rsidRDefault="00000000" w:rsidRPr="00000000" w14:paraId="0000002A">
                <w:pPr>
                  <w:widowControl w:val="0"/>
                  <w:pBdr>
                    <w:top w:color="auto" w:space="0" w:sz="0" w:val="none"/>
                    <w:bottom w:color="auto" w:space="0" w:sz="0" w:val="none"/>
                    <w:between w:color="auto" w:space="0" w:sz="0" w:val="none"/>
                  </w:pBdr>
                  <w:spacing w:line="240" w:lineRule="auto"/>
                  <w:ind w:left="0" w:firstLine="0"/>
                  <w:rPr>
                    <w:rFonts w:ascii="Gotham" w:cs="Gotham" w:eastAsia="Gotham" w:hAnsi="Gotham"/>
                    <w:color w:val="0f243e"/>
                    <w:sz w:val="20"/>
                    <w:szCs w:val="20"/>
                  </w:rPr>
                </w:pPr>
                <w:r w:rsidDel="00000000" w:rsidR="00000000" w:rsidRPr="00000000">
                  <w:rPr>
                    <w:rFonts w:ascii="inherit" w:cs="inherit" w:eastAsia="inherit" w:hAnsi="inherit"/>
                    <w:color w:val="333333"/>
                    <w:sz w:val="21"/>
                    <w:szCs w:val="21"/>
                    <w:rtl w:val="0"/>
                  </w:rPr>
                  <w:t xml:space="preserve">A comprehensive review of healthcare workers' perspectives reveals fears around over-reliance on AI diminishing clinical skills and the pressing requirement for developing new skills like information management. It stresses the need for integrating AI fundamentals into medical curricula and providing continuous professional education to current practitioners to bridge AI knowledge gaps.</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otham" w:cs="Gotham" w:eastAsia="Gotham" w:hAnsi="Gotham"/>
                    <w:color w:val="0f243e"/>
                    <w:sz w:val="20"/>
                    <w:szCs w:val="20"/>
                  </w:rPr>
                </w:pPr>
                <w:r w:rsidDel="00000000" w:rsidR="00000000" w:rsidRPr="00000000">
                  <w:rPr>
                    <w:rtl w:val="0"/>
                  </w:rPr>
                </w:r>
              </w:p>
            </w:tc>
          </w:tr>
          <w:tr>
            <w:trPr>
              <w:cantSplit w:val="0"/>
              <w:trHeight w:val="489.9609375" w:hRule="atLeast"/>
              <w:tblHeader w:val="0"/>
            </w:trPr>
            <w:tc>
              <w:tcPr>
                <w:shd w:fill="17365d"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Work Packages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240" w:before="240" w:line="240" w:lineRule="auto"/>
                  <w:rPr>
                    <w:rFonts w:ascii="Gotham" w:cs="Gotham" w:eastAsia="Gotham" w:hAnsi="Gotham"/>
                    <w:b w:val="1"/>
                    <w:color w:val="0f243e"/>
                  </w:rPr>
                </w:pPr>
                <w:r w:rsidDel="00000000" w:rsidR="00000000" w:rsidRPr="00000000">
                  <w:rPr>
                    <w:rFonts w:ascii="Gotham" w:cs="Gotham" w:eastAsia="Gotham" w:hAnsi="Gotham"/>
                    <w:b w:val="1"/>
                    <w:color w:val="0f243e"/>
                    <w:rtl w:val="0"/>
                  </w:rPr>
                  <w:t xml:space="preserve">WP1: Project Management &amp; Quality Assurance</w:t>
                  <w:br w:type="textWrapping"/>
                </w:r>
              </w:p>
              <w:p w:rsidR="00000000" w:rsidDel="00000000" w:rsidP="00000000" w:rsidRDefault="00000000" w:rsidRPr="00000000" w14:paraId="0000002E">
                <w:pPr>
                  <w:widowControl w:val="0"/>
                  <w:spacing w:after="240" w:before="240" w:line="240" w:lineRule="auto"/>
                  <w:rPr>
                    <w:rFonts w:ascii="Gotham" w:cs="Gotham" w:eastAsia="Gotham" w:hAnsi="Gotham"/>
                    <w:b w:val="1"/>
                    <w:color w:val="0f243e"/>
                  </w:rPr>
                </w:pPr>
                <w:r w:rsidDel="00000000" w:rsidR="00000000" w:rsidRPr="00000000">
                  <w:rPr>
                    <w:rFonts w:ascii="Gotham" w:cs="Gotham" w:eastAsia="Gotham" w:hAnsi="Gotham"/>
                    <w:b w:val="1"/>
                    <w:color w:val="0f243e"/>
                    <w:rtl w:val="0"/>
                  </w:rPr>
                  <w:t xml:space="preserve">WP2: Needs Analysis &amp; Curriculum Mapping</w:t>
                  <w:br w:type="textWrapping"/>
                </w:r>
              </w:p>
              <w:p w:rsidR="00000000" w:rsidDel="00000000" w:rsidP="00000000" w:rsidRDefault="00000000" w:rsidRPr="00000000" w14:paraId="0000002F">
                <w:pPr>
                  <w:widowControl w:val="0"/>
                  <w:spacing w:after="240" w:before="240" w:line="240" w:lineRule="auto"/>
                  <w:rPr>
                    <w:rFonts w:ascii="Gotham" w:cs="Gotham" w:eastAsia="Gotham" w:hAnsi="Gotham"/>
                    <w:b w:val="1"/>
                    <w:color w:val="0f243e"/>
                  </w:rPr>
                </w:pPr>
                <w:r w:rsidDel="00000000" w:rsidR="00000000" w:rsidRPr="00000000">
                  <w:rPr>
                    <w:rFonts w:ascii="Gotham" w:cs="Gotham" w:eastAsia="Gotham" w:hAnsi="Gotham"/>
                    <w:b w:val="1"/>
                    <w:color w:val="0f243e"/>
                    <w:rtl w:val="0"/>
                  </w:rPr>
                  <w:t xml:space="preserve">WP3: Content Development (modular e-learning materials, PDFs, videos; including AI tools)</w:t>
                  <w:br w:type="textWrapping"/>
                </w:r>
              </w:p>
              <w:p w:rsidR="00000000" w:rsidDel="00000000" w:rsidP="00000000" w:rsidRDefault="00000000" w:rsidRPr="00000000" w14:paraId="00000030">
                <w:pPr>
                  <w:widowControl w:val="0"/>
                  <w:spacing w:after="240" w:before="240" w:line="240" w:lineRule="auto"/>
                  <w:rPr>
                    <w:rFonts w:ascii="Gotham" w:cs="Gotham" w:eastAsia="Gotham" w:hAnsi="Gotham"/>
                    <w:b w:val="1"/>
                    <w:color w:val="0f243e"/>
                  </w:rPr>
                </w:pPr>
                <w:r w:rsidDel="00000000" w:rsidR="00000000" w:rsidRPr="00000000">
                  <w:rPr>
                    <w:rFonts w:ascii="Gotham" w:cs="Gotham" w:eastAsia="Gotham" w:hAnsi="Gotham"/>
                    <w:b w:val="1"/>
                    <w:color w:val="0f243e"/>
                    <w:rtl w:val="0"/>
                  </w:rPr>
                  <w:t xml:space="preserve">WP4: Pilot Testing (online pilots with students and young healthcare professionals across partner countries)</w:t>
                  <w:br w:type="textWrapping"/>
                </w:r>
              </w:p>
              <w:p w:rsidR="00000000" w:rsidDel="00000000" w:rsidP="00000000" w:rsidRDefault="00000000" w:rsidRPr="00000000" w14:paraId="00000031">
                <w:pPr>
                  <w:widowControl w:val="0"/>
                  <w:spacing w:after="240" w:before="240" w:line="240" w:lineRule="auto"/>
                  <w:rPr>
                    <w:rFonts w:ascii="Gotham" w:cs="Gotham" w:eastAsia="Gotham" w:hAnsi="Gotham"/>
                    <w:b w:val="1"/>
                    <w:color w:val="0f243e"/>
                  </w:rPr>
                </w:pPr>
                <w:r w:rsidDel="00000000" w:rsidR="00000000" w:rsidRPr="00000000">
                  <w:rPr>
                    <w:rFonts w:ascii="Gotham" w:cs="Gotham" w:eastAsia="Gotham" w:hAnsi="Gotham"/>
                    <w:b w:val="1"/>
                    <w:color w:val="0f243e"/>
                    <w:rtl w:val="0"/>
                  </w:rPr>
                  <w:t xml:space="preserve">WP5: Dissemination, Open Access Platform &amp; Sustainability</w:t>
                </w:r>
              </w:p>
              <w:p w:rsidR="00000000" w:rsidDel="00000000" w:rsidP="00000000" w:rsidRDefault="00000000" w:rsidRPr="00000000" w14:paraId="00000032">
                <w:pPr>
                  <w:widowControl w:val="0"/>
                  <w:spacing w:after="240" w:before="240" w:line="240" w:lineRule="auto"/>
                  <w:rPr>
                    <w:rFonts w:ascii="Gotham" w:cs="Gotham" w:eastAsia="Gotham" w:hAnsi="Gotham"/>
                    <w:b w:val="1"/>
                    <w:color w:val="0f243e"/>
                  </w:rPr>
                </w:pPr>
                <w:r w:rsidDel="00000000" w:rsidR="00000000" w:rsidRPr="00000000">
                  <w:rPr>
                    <w:rtl w:val="0"/>
                  </w:rPr>
                </w:r>
              </w:p>
            </w:tc>
          </w:tr>
          <w:tr>
            <w:trPr>
              <w:cantSplit w:val="0"/>
              <w:trHeight w:val="489.9609375" w:hRule="atLeast"/>
              <w:tblHeader w:val="0"/>
            </w:trPr>
            <w:tc>
              <w:tcPr>
                <w:shd w:fill="17365d"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Impact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numPr>
                    <w:ilvl w:val="0"/>
                    <w:numId w:val="1"/>
                  </w:numPr>
                  <w:spacing w:after="0" w:afterAutospacing="0" w:before="240" w:line="240" w:lineRule="auto"/>
                  <w:ind w:left="720" w:hanging="360"/>
                  <w:rPr>
                    <w:rFonts w:ascii="Gotham" w:cs="Gotham" w:eastAsia="Gotham" w:hAnsi="Gotham"/>
                    <w:color w:val="0f243e"/>
                    <w:u w:val="none"/>
                  </w:rPr>
                </w:pPr>
                <w:r w:rsidDel="00000000" w:rsidR="00000000" w:rsidRPr="00000000">
                  <w:rPr>
                    <w:rFonts w:ascii="inherit" w:cs="inherit" w:eastAsia="inherit" w:hAnsi="inherit"/>
                    <w:color w:val="333333"/>
                    <w:sz w:val="21"/>
                    <w:szCs w:val="21"/>
                    <w:rtl w:val="0"/>
                  </w:rPr>
                  <w:t xml:space="preserve">X students and young professionals with enhanced competence and confidence in using digital tools and AI in healthcare.</w:t>
                  <w:br w:type="textWrapping"/>
                </w:r>
              </w:p>
              <w:p w:rsidR="00000000" w:rsidDel="00000000" w:rsidP="00000000" w:rsidRDefault="00000000" w:rsidRPr="00000000" w14:paraId="00000035">
                <w:pPr>
                  <w:widowControl w:val="0"/>
                  <w:numPr>
                    <w:ilvl w:val="0"/>
                    <w:numId w:val="1"/>
                  </w:numPr>
                  <w:spacing w:after="240" w:before="0" w:beforeAutospacing="0" w:line="240" w:lineRule="auto"/>
                  <w:ind w:left="720" w:hanging="360"/>
                  <w:rPr>
                    <w:rFonts w:ascii="Gotham" w:cs="Gotham" w:eastAsia="Gotham" w:hAnsi="Gotham"/>
                    <w:color w:val="0f243e"/>
                    <w:u w:val="none"/>
                  </w:rPr>
                </w:pPr>
                <w:r w:rsidDel="00000000" w:rsidR="00000000" w:rsidRPr="00000000">
                  <w:rPr>
                    <w:rFonts w:ascii="inherit" w:cs="inherit" w:eastAsia="inherit" w:hAnsi="inherit"/>
                    <w:color w:val="333333"/>
                    <w:sz w:val="21"/>
                    <w:szCs w:val="21"/>
                    <w:rtl w:val="0"/>
                  </w:rPr>
                  <w:t xml:space="preserve">Expansion of the professional toolbox and application of digital solutions in the daily work of participants and health sector professionals, through the access to the innovative practices promoted by the project</w:t>
                </w:r>
                <w:r w:rsidDel="00000000" w:rsidR="00000000" w:rsidRPr="00000000">
                  <w:rPr>
                    <w:rtl w:val="0"/>
                  </w:rPr>
                </w:r>
              </w:p>
            </w:tc>
          </w:tr>
        </w:tbl>
      </w:sdtContent>
    </w:sdt>
    <w:p w:rsidR="00000000" w:rsidDel="00000000" w:rsidP="00000000" w:rsidRDefault="00000000" w:rsidRPr="00000000" w14:paraId="00000036">
      <w:pPr>
        <w:rPr>
          <w:rFonts w:ascii="Gotham" w:cs="Gotham" w:eastAsia="Gotham" w:hAnsi="Gotham"/>
        </w:rPr>
      </w:pPr>
      <w:r w:rsidDel="00000000" w:rsidR="00000000" w:rsidRPr="00000000">
        <w:rPr>
          <w:rtl w:val="0"/>
        </w:rPr>
      </w:r>
    </w:p>
    <w:sectPr>
      <w:headerReference r:id="rId7" w:type="default"/>
      <w:headerReference r:id="rId8" w:type="first"/>
      <w:footerReference r:id="rId9" w:type="first"/>
      <w:pgSz w:h="16838" w:w="11906" w:orient="portrait"/>
      <w:pgMar w:bottom="1440" w:top="1440" w:left="1077" w:right="10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otham"/>
  <w:font w:name="inheri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3762375</wp:posOffset>
          </wp:positionH>
          <wp:positionV relativeFrom="paragraph">
            <wp:posOffset>-443754</wp:posOffset>
          </wp:positionV>
          <wp:extent cx="3838575" cy="1876425"/>
          <wp:effectExtent b="0" l="0" r="0" t="0"/>
          <wp:wrapNone/>
          <wp:docPr id="11" name="image1.png"/>
          <a:graphic>
            <a:graphicData uri="http://schemas.openxmlformats.org/drawingml/2006/picture">
              <pic:pic>
                <pic:nvPicPr>
                  <pic:cNvPr id="0" name="image1.png"/>
                  <pic:cNvPicPr preferRelativeResize="0"/>
                </pic:nvPicPr>
                <pic:blipFill>
                  <a:blip r:embed="rId1"/>
                  <a:srcRect b="19916" l="0" r="35416" t="40038"/>
                  <a:stretch>
                    <a:fillRect/>
                  </a:stretch>
                </pic:blipFill>
                <pic:spPr>
                  <a:xfrm>
                    <a:off x="0" y="0"/>
                    <a:ext cx="3838575" cy="18764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-151760</wp:posOffset>
          </wp:positionV>
          <wp:extent cx="1976438" cy="607572"/>
          <wp:effectExtent b="0" l="0" r="0" t="0"/>
          <wp:wrapNone/>
          <wp:docPr id="12" name="image2.jpg"/>
          <a:graphic>
            <a:graphicData uri="http://schemas.openxmlformats.org/drawingml/2006/picture">
              <pic:pic>
                <pic:nvPicPr>
                  <pic:cNvPr id="0" name="image2.jpg"/>
                  <pic:cNvPicPr preferRelativeResize="0"/>
                </pic:nvPicPr>
                <pic:blipFill>
                  <a:blip r:embed="rId2"/>
                  <a:srcRect b="18938" l="7532" r="8492" t="20075"/>
                  <a:stretch>
                    <a:fillRect/>
                  </a:stretch>
                </pic:blipFill>
                <pic:spPr>
                  <a:xfrm>
                    <a:off x="0" y="0"/>
                    <a:ext cx="1976438" cy="607572"/>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Intestazione">
    <w:name w:val="header"/>
    <w:basedOn w:val="Normale"/>
    <w:link w:val="IntestazioneCarattere"/>
    <w:uiPriority w:val="99"/>
    <w:unhideWhenUsed w:val="1"/>
    <w:rsid w:val="00212386"/>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212386"/>
  </w:style>
  <w:style w:type="paragraph" w:styleId="Pidipagina">
    <w:name w:val="footer"/>
    <w:basedOn w:val="Normale"/>
    <w:link w:val="PidipaginaCarattere"/>
    <w:uiPriority w:val="99"/>
    <w:unhideWhenUsed w:val="1"/>
    <w:rsid w:val="00212386"/>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212386"/>
  </w:style>
  <w:style w:type="table" w:styleId="Grigliatabella">
    <w:name w:val="Table Grid"/>
    <w:basedOn w:val="Tabellanormale"/>
    <w:uiPriority w:val="39"/>
    <w:rsid w:val="00375BDD"/>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D33D66"/>
    <w:pPr>
      <w:ind w:left="720"/>
      <w:contextualSpacing w:val="1"/>
    </w:p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3FTTnljITd9KLAolsGAnaPRaDA==">CgMxLjAaHwoBMBIaChgICVIUChJ0YWJsZS4zY3V2NHl5d2c4cjE4AHIhMXQwcDgzQnJtS3ZmN1BTWWFZMkRfeU1OaHhVTjNkUjZh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2025-02-06T00:52:00Z</dcterms:created>
  <dc:creator>Giorgio Mazzara</dc:creator>
</cp:coreProperties>
</file>