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FD86" w14:textId="77777777" w:rsidR="00FF32C4" w:rsidRDefault="00437C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ERASMUS+ PARTNER IDENTIFICATION FORM</w:t>
      </w:r>
    </w:p>
    <w:p w14:paraId="75C0BE0A" w14:textId="77777777" w:rsidR="00FF32C4" w:rsidRDefault="00FF32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4"/>
        <w:gridCol w:w="607"/>
        <w:gridCol w:w="424"/>
        <w:gridCol w:w="6131"/>
      </w:tblGrid>
      <w:tr w:rsidR="00FF32C4" w14:paraId="191152A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1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left w:w="80" w:type="dxa"/>
              <w:right w:w="80" w:type="dxa"/>
            </w:tcMar>
          </w:tcPr>
          <w:p w14:paraId="7E4786F5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</w:rPr>
              <w:t>A. PARTNER ORGANISATION</w:t>
            </w:r>
          </w:p>
        </w:tc>
      </w:tr>
      <w:tr w:rsidR="00FF32C4" w14:paraId="0D9D553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89B9413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PIC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8C6F7A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883657100</w:t>
            </w:r>
          </w:p>
        </w:tc>
      </w:tr>
      <w:tr w:rsidR="00FF32C4" w14:paraId="1D96170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DBEEA8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OID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ab/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B5F99A4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E10320237</w:t>
            </w:r>
          </w:p>
        </w:tc>
      </w:tr>
      <w:tr w:rsidR="00FF32C4" w14:paraId="05B6DB3C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1FE1121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)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AE3F190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ACTION SOCIETY SOCIETATE CU RASPUNDERE LIMITATA</w:t>
            </w:r>
          </w:p>
        </w:tc>
      </w:tr>
      <w:tr w:rsidR="00FF32C4" w14:paraId="3F1E24FC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3054FEF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 (Latin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characters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)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D85413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ACTION SOCIETY SOCIETATE CU RASPUNDERE LIMITATA</w:t>
            </w:r>
          </w:p>
        </w:tc>
      </w:tr>
      <w:tr w:rsidR="00FF32C4" w14:paraId="257C7D4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7DA759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Acronym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989C5F8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36"/>
              </w:rPr>
              <w:t>ACTION SOCIETY SRL</w:t>
            </w:r>
          </w:p>
        </w:tc>
      </w:tr>
      <w:tr w:rsidR="00FF32C4" w14:paraId="0731D8A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DE265E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ID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)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C72B25F" w14:textId="77777777" w:rsidR="00FF32C4" w:rsidRDefault="00437C2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36"/>
              </w:rPr>
              <w:t>№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47446710</w:t>
            </w:r>
          </w:p>
        </w:tc>
      </w:tr>
      <w:tr w:rsidR="00FF32C4" w14:paraId="357638F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E50648B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Department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applicable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)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D2DE9FD" w14:textId="77777777" w:rsidR="00FF32C4" w:rsidRDefault="00FF32C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016365FD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7371EF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Street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)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E6A561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Sat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Biban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Comuna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Padina 171</w:t>
            </w:r>
          </w:p>
        </w:tc>
      </w:tr>
      <w:tr w:rsidR="00FF32C4" w14:paraId="47886BEA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D4C5607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Country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48D3072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Romania</w:t>
            </w:r>
            <w:proofErr w:type="spellEnd"/>
          </w:p>
        </w:tc>
      </w:tr>
      <w:tr w:rsidR="00FF32C4" w14:paraId="0235D224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7A0DC6E" w14:textId="77777777" w:rsidR="00FF32C4" w:rsidRDefault="00437C29">
            <w:pPr>
              <w:tabs>
                <w:tab w:val="left" w:pos="88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Region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353B6E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Mehedinti</w:t>
            </w:r>
            <w:proofErr w:type="spellEnd"/>
          </w:p>
        </w:tc>
      </w:tr>
      <w:tr w:rsidR="00FF32C4" w14:paraId="7F0116B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CB671F" w14:textId="77777777" w:rsidR="00FF32C4" w:rsidRDefault="00437C29">
            <w:pPr>
              <w:tabs>
                <w:tab w:val="left" w:pos="142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P.O.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Box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7400B5F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Padina</w:t>
            </w:r>
          </w:p>
        </w:tc>
      </w:tr>
      <w:tr w:rsidR="00FF32C4" w14:paraId="366C9A0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7D0AD0A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Post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Code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8B3492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227340</w:t>
            </w:r>
          </w:p>
        </w:tc>
      </w:tr>
      <w:tr w:rsidR="00FF32C4" w14:paraId="6B7EC0D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5D17D0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CEDEX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16785A4" w14:textId="77777777" w:rsidR="00FF32C4" w:rsidRDefault="00FF32C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542B51F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8B7DC67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City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08F4A89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Padina</w:t>
            </w:r>
          </w:p>
        </w:tc>
      </w:tr>
      <w:tr w:rsidR="00FF32C4" w14:paraId="73EAE4E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CF57084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Website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EEA395E" w14:textId="77777777" w:rsidR="00FF32C4" w:rsidRDefault="00437C29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1C1E21"/>
                <w:shd w:val="clear" w:color="auto" w:fill="FFFFFF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https://www.facebook.com/traducator.autorizat.58</w:t>
              </w:r>
            </w:hyperlink>
          </w:p>
          <w:p w14:paraId="6BCA4A76" w14:textId="475299AE" w:rsidR="00FF32C4" w:rsidRPr="00437C29" w:rsidRDefault="00437C29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https://www.facebook.com/profile.php?id=100089617874350</w:t>
              </w:r>
            </w:hyperlink>
          </w:p>
          <w:p w14:paraId="4A978023" w14:textId="77777777" w:rsidR="00FF32C4" w:rsidRDefault="00437C29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https://www.salto-youth.net/tools/otlas-partner-finding/organisation/action-society.24543/</w:t>
              </w:r>
            </w:hyperlink>
          </w:p>
          <w:p w14:paraId="311B8E84" w14:textId="77777777" w:rsidR="00FF32C4" w:rsidRDefault="00FF32C4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372297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336BD05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FE2B35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02CC4130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70ED7300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6061B96B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013165D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74DB51F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S.R.L.</w:t>
            </w:r>
            <w:r>
              <w:rPr>
                <w:rFonts w:ascii="Times New Roman" w:eastAsia="Times New Roman" w:hAnsi="Times New Roman" w:cs="Times New Roman"/>
              </w:rPr>
              <w:t xml:space="preserve"> is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dynamic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founded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fields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commitment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advancing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mission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innovative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empower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today’s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rapidly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B2A16BE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dedicated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cross-cultural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everyone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potential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8B73E81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E5BFA4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50F5DC2E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with</w:t>
            </w:r>
            <w:proofErr w:type="spellEnd"/>
          </w:p>
          <w:p w14:paraId="030CB63E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flexible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offerings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broad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transitioning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workforce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outside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schooling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pursuing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Marginalized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populations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low-income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minorities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refuge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disabilities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barriers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tailored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benefit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neighborhoods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industries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Enthusiasts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self-improvement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attracting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high-quality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9B820B9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aims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are:</w:t>
            </w:r>
          </w:p>
          <w:p w14:paraId="47CC1587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embrace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love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throughout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B62AEFC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Filling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Addressing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experiential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tailored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needs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3DFFCA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enrichment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advancement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purposes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ED278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self-awareness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thinking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problem-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adaptability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F12461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Empowering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Self-Directed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self-directed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B182809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Accessibility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Inclusivity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populations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barriers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constraints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geographic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isolation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challenges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8C4E43F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networks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4750BD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Environmental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Sustainable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Raising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awareness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environmental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sustainable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responsible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stewardship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95437D5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Global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perspective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cross-cultural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cooperation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EEEC27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Civic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civic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8A73223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nutrition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fitness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13B3990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Digital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technological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equipped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navigate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effectively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81C22C6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6F017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</w:p>
          <w:p w14:paraId="2F98E00B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Workshops</w:t>
            </w:r>
            <w:proofErr w:type="spellEnd"/>
          </w:p>
          <w:p w14:paraId="16D7D25A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involve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'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multiple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deepening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0AD7DB1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customs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ABBD594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etiquette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role-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exercises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simulate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real-life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immerse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dance,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cuisine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customs.These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awaraness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appreciation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2FD665C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Programs</w:t>
            </w:r>
            <w:proofErr w:type="spellEnd"/>
          </w:p>
          <w:p w14:paraId="6E4C97DC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Dialogues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dialogues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backgrounds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experiences.In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bridges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cohesion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B6AB4DB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Resources</w:t>
            </w:r>
            <w:proofErr w:type="spellEnd"/>
          </w:p>
          <w:p w14:paraId="17A8F89F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narratives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inspire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learners.We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groups.In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enriches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856B50B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following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incorporated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foreign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416C3333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F4FAF3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74C2ACC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literature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films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curriculum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Analyzing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insights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012AAF3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partnerships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speakers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7351A1F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platforms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B37FC0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backgrounds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assigning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together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perspectives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DCCF150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525031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2DB689A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educators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Segoe UI" w:eastAsia="Segoe UI" w:hAnsi="Segoe UI" w:cs="Segoe UI"/>
                <w:color w:val="70AD4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real-life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improve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settings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crucial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allow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breaking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stereotypes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deeper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appreciation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</w:t>
            </w:r>
            <w:r>
              <w:rPr>
                <w:rFonts w:ascii="Times New Roman" w:eastAsia="Times New Roman" w:hAnsi="Times New Roman" w:cs="Times New Roman"/>
              </w:rPr>
              <w:t>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648BF13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Cooperation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5FD721A7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progarmms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globally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B32F748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expertise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across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borders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D456969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efforts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collectively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contribute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embracing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celebrating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empathetic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harmonious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AE9BC54" w14:textId="77777777" w:rsidR="00FF32C4" w:rsidRDefault="00FF32C4">
            <w:pPr>
              <w:spacing w:after="0" w:line="240" w:lineRule="auto"/>
            </w:pPr>
          </w:p>
        </w:tc>
      </w:tr>
      <w:tr w:rsidR="00FF32C4" w14:paraId="65CE3EA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55BDAC5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lastRenderedPageBreak/>
              <w:t>Email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E4663E" w14:textId="77777777" w:rsidR="00FF32C4" w:rsidRDefault="00437C29">
            <w:pPr>
              <w:keepNext/>
              <w:keepLines/>
              <w:spacing w:before="40" w:after="0" w:line="240" w:lineRule="auto"/>
              <w:rPr>
                <w:rFonts w:ascii="Helvetica" w:eastAsia="Helvetica" w:hAnsi="Helvetica" w:cs="Helvetica"/>
                <w:color w:val="365F91"/>
                <w:sz w:val="26"/>
              </w:rPr>
            </w:pPr>
            <w:hyperlink r:id="rId7">
              <w:r>
                <w:rPr>
                  <w:rFonts w:ascii="Helvetica" w:eastAsia="Helvetica" w:hAnsi="Helvetica" w:cs="Helvetica"/>
                  <w:color w:val="365F91"/>
                  <w:sz w:val="26"/>
                  <w:u w:val="single"/>
                </w:rPr>
                <w:t>actionsociety3@gmail.com</w:t>
              </w:r>
            </w:hyperlink>
          </w:p>
          <w:p w14:paraId="78335EF1" w14:textId="77777777" w:rsidR="00FF32C4" w:rsidRDefault="00FF32C4">
            <w:pPr>
              <w:spacing w:after="0" w:line="240" w:lineRule="auto"/>
            </w:pPr>
          </w:p>
        </w:tc>
      </w:tr>
      <w:tr w:rsidR="00FF32C4" w14:paraId="6A37727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4469DA8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1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1AFBB8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+ 40767105173</w:t>
            </w:r>
          </w:p>
        </w:tc>
      </w:tr>
      <w:tr w:rsidR="00FF32C4" w14:paraId="4A2CAE9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C2F615F" w14:textId="77777777" w:rsidR="00FF32C4" w:rsidRDefault="00437C29">
            <w:pPr>
              <w:tabs>
                <w:tab w:val="left" w:pos="460"/>
              </w:tabs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2</w:t>
            </w:r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0B77C69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+381640621180</w:t>
            </w:r>
          </w:p>
        </w:tc>
      </w:tr>
      <w:tr w:rsidR="00FF32C4" w14:paraId="12A8517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63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F31FC91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Fax</w:t>
            </w:r>
            <w:proofErr w:type="spellEnd"/>
          </w:p>
        </w:tc>
        <w:tc>
          <w:tcPr>
            <w:tcW w:w="6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BB3253D" w14:textId="77777777" w:rsidR="00FF32C4" w:rsidRDefault="00FF32C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6EA7BAF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1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left w:w="80" w:type="dxa"/>
              <w:right w:w="80" w:type="dxa"/>
            </w:tcMar>
          </w:tcPr>
          <w:p w14:paraId="5E4A97A0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</w:rPr>
              <w:t>B. PROFILE</w:t>
            </w:r>
          </w:p>
        </w:tc>
      </w:tr>
      <w:tr w:rsidR="00FF32C4" w14:paraId="59717E9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BBF6B6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Organisation</w:t>
            </w:r>
            <w:proofErr w:type="spellEnd"/>
          </w:p>
        </w:tc>
        <w:tc>
          <w:tcPr>
            <w:tcW w:w="6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CF47677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Private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</w:rPr>
              <w:t>entity</w:t>
            </w:r>
            <w:proofErr w:type="spellEnd"/>
          </w:p>
        </w:tc>
      </w:tr>
      <w:tr w:rsidR="00FF32C4" w14:paraId="6CE895D1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212F62B" w14:textId="77777777" w:rsidR="00FF32C4" w:rsidRDefault="00437C29">
            <w:pPr>
              <w:tabs>
                <w:tab w:val="left" w:pos="50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partner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?</w:t>
            </w:r>
          </w:p>
        </w:tc>
        <w:tc>
          <w:tcPr>
            <w:tcW w:w="6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C7AC51B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NO</w:t>
            </w:r>
          </w:p>
        </w:tc>
      </w:tr>
      <w:tr w:rsidR="00FF32C4" w14:paraId="024350F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30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1C85A2E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partner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-profit?</w:t>
            </w:r>
          </w:p>
        </w:tc>
        <w:tc>
          <w:tcPr>
            <w:tcW w:w="61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E3855DF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NO</w:t>
            </w:r>
          </w:p>
        </w:tc>
      </w:tr>
      <w:tr w:rsidR="00FF32C4" w14:paraId="5F52CDE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1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left w:w="80" w:type="dxa"/>
              <w:right w:w="80" w:type="dxa"/>
            </w:tcMar>
          </w:tcPr>
          <w:p w14:paraId="6B84C3A7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</w:rPr>
              <w:t>D. BACKGROUND AND EXPERIENCE</w:t>
            </w:r>
          </w:p>
        </w:tc>
      </w:tr>
      <w:tr w:rsidR="00FF32C4" w14:paraId="78CD63C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06B25850" w14:textId="77777777" w:rsidR="00FF32C4" w:rsidRDefault="00437C2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briefly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 xml:space="preserve"> partner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</w:rPr>
              <w:t>.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2F2A16D" w14:textId="77777777" w:rsidR="00FF32C4" w:rsidRDefault="004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ACTION SOCIETY S.R.L</w:t>
            </w:r>
          </w:p>
          <w:p w14:paraId="3127741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Romanian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legal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established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liability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operates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accordance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legislation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clauses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constitutive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holder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rights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obligations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patrimony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19D779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ACTION SOCIETY S.R.L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limited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liability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S.R.L.,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according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regarding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availability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no. 82 from 04.01.2023,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Office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Commercial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Register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102AA0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area.</w:t>
            </w:r>
          </w:p>
          <w:p w14:paraId="7E41F99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Facebook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https://www.facebook.com/profile.php?id=100089617874350</w:t>
              </w:r>
            </w:hyperlink>
          </w:p>
          <w:p w14:paraId="44117D16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6DF87D7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ACTION SOCIETY</w:t>
            </w:r>
          </w:p>
          <w:p w14:paraId="70F1710D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S.R.L.</w:t>
            </w:r>
            <w:r>
              <w:rPr>
                <w:rFonts w:ascii="Times New Roman" w:eastAsia="Times New Roman" w:hAnsi="Times New Roman" w:cs="Times New Roman"/>
              </w:rPr>
              <w:t xml:space="preserve"> is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dynamic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founded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fields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commitment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advancing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mission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is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sector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forward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innovative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empower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today’s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rapidly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98AFCA0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dedicated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cross-cultural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everyone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full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potential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40A7E88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A523B7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757E41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with</w:t>
            </w:r>
            <w:proofErr w:type="spellEnd"/>
          </w:p>
          <w:p w14:paraId="41D5500C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flexible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offerings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broad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transitioning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workforce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professional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outside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schooling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Adult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pursuing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Marginalized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populations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low-income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minorities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refuge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people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disabilities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barriers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tailored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solutions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members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interested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benefit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neighborhoods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industries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Enthusiasts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self-improvement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non-formal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attracting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around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high-quality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F6CA29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aims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are:</w:t>
            </w:r>
          </w:p>
          <w:p w14:paraId="75A57614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embrace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continuous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lifelong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love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throughout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7AFE290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Filling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Gaps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Addressing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systems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experiential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tailored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needs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1938D8B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Skill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enrichment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advancement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specific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vocational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purposes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4AA0887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Personal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growth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self-awareness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critical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thinking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problem-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solving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adaptability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A1606A0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Empowering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Self-Directed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own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self-directed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A08EB0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Accessibility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Inclusivity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populations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those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face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barriers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financial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constraints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geographic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isolation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challenges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32D99F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Building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networks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support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778E044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Environmental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Sustainable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Raising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awareness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providing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environmental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sustainable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responsible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stewardship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3405F6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Global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perspective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citizenship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cross-cultural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cooperation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797DB70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Civic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necessary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civic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7CA314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well-being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nutrition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fitness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2D2511C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Digital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technological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ensuring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equipped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navigate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digital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effectively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97E55A4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A876C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u w:val="single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u w:val="single"/>
              </w:rPr>
              <w:t>:</w:t>
            </w:r>
          </w:p>
          <w:p w14:paraId="1FE28AFD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Workshops</w:t>
            </w:r>
            <w:proofErr w:type="spellEnd"/>
          </w:p>
          <w:p w14:paraId="50FAD0C5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involve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aimed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developing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'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listening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offer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multiple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global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deepening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127ECA2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focus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customs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3ADDF3D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etiquette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role-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exercises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simulate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real-life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situations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conduct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immerse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music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dance,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cuisine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customs.These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proficiency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awaraness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appreciation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059FF94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Programs</w:t>
            </w:r>
            <w:proofErr w:type="spellEnd"/>
          </w:p>
          <w:p w14:paraId="07AE9122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Dialogues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dialogues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backgrounds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experiences.In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bridges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cohesion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F0279F3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Resources</w:t>
            </w:r>
            <w:proofErr w:type="spellEnd"/>
          </w:p>
          <w:p w14:paraId="2D0D4CC0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narratives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stories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inspire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learners.We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accessible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groups.In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enriches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24623AF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following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incorporated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foreign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enhance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7D3EAC9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E2DE6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topics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57A4CBE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literature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films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curriculum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Analyzing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materials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insights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values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issues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historical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FDEC12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partnerships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target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speakers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FA4F4D8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platforms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651F016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different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backgrounds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assigning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require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together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from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perspectives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074723B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E4F0D0A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9B3F6AD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programs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educators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competency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Segoe UI" w:eastAsia="Segoe UI" w:hAnsi="Segoe UI" w:cs="Segoe UI"/>
                <w:color w:val="70AD4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provide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real-life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improve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settings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encourage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participation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crucial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allow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exploration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identities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breaking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stereotypes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deeper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appreciation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</w:t>
            </w:r>
            <w:r>
              <w:rPr>
                <w:rFonts w:ascii="Times New Roman" w:eastAsia="Times New Roman" w:hAnsi="Times New Roman" w:cs="Times New Roman"/>
              </w:rPr>
              <w:t>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80B0D9B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Cooperation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14:paraId="5B15ED71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Collaboration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curricula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progarmms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exchange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practices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globally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342E4E2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impact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initiative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facilitate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knowledge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expertise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across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borders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853B453" w14:textId="77777777" w:rsidR="00FF32C4" w:rsidRDefault="00437C29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Society's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efforts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promoting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multilingual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courses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workshops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engagement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educational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resources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teacher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collectively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contribute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fostering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understanding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embracing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celebrating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linguistic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cultural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diversity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helps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build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inclusive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empathetic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harmonious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communities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E39C8AA" w14:textId="77777777" w:rsidR="00FF32C4" w:rsidRDefault="00FF32C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9D40CE8" w14:textId="77777777" w:rsidR="00FF32C4" w:rsidRDefault="00FF32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16FFF088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BB597C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64E035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A3C54" w14:textId="77777777" w:rsidR="00FF32C4" w:rsidRDefault="00FF32C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E92BB8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3F3F1D71" w14:textId="77777777" w:rsidR="00FF32C4" w:rsidRDefault="00FF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36"/>
                <w:shd w:val="clear" w:color="auto" w:fill="FFFFFF"/>
              </w:rPr>
            </w:pPr>
          </w:p>
          <w:p w14:paraId="73594B98" w14:textId="77777777" w:rsidR="00FF32C4" w:rsidRDefault="00FF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36"/>
                <w:shd w:val="clear" w:color="auto" w:fill="FFFFFF"/>
              </w:rPr>
            </w:pPr>
          </w:p>
          <w:p w14:paraId="43B5F45D" w14:textId="77777777" w:rsidR="00FF32C4" w:rsidRDefault="00FF3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hd w:val="clear" w:color="auto" w:fill="FFFFFF"/>
              </w:rPr>
            </w:pPr>
          </w:p>
          <w:p w14:paraId="366C6E39" w14:textId="77777777" w:rsidR="00FF32C4" w:rsidRDefault="00437C29">
            <w:pPr>
              <w:tabs>
                <w:tab w:val="left" w:pos="567"/>
              </w:tabs>
              <w:spacing w:after="0" w:line="240" w:lineRule="auto"/>
              <w:ind w:left="56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hd w:val="clear" w:color="auto" w:fill="FFFFFF"/>
              </w:rPr>
              <w:t xml:space="preserve"> </w:t>
            </w:r>
          </w:p>
        </w:tc>
      </w:tr>
      <w:tr w:rsidR="00FF32C4" w14:paraId="126042A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7A790E9F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experience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areas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relevant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132E16D" w14:textId="77777777" w:rsidR="00FF32C4" w:rsidRDefault="00FF32C4">
            <w:pPr>
              <w:suppressAutoHyphens/>
              <w:spacing w:after="0" w:line="240" w:lineRule="auto"/>
              <w:ind w:left="113" w:right="113"/>
              <w:rPr>
                <w:rFonts w:ascii="Arial Narrow" w:eastAsia="Arial Narrow" w:hAnsi="Arial Narrow" w:cs="Arial Narrow"/>
                <w:b/>
                <w:sz w:val="20"/>
                <w:u w:val="single"/>
              </w:rPr>
            </w:pPr>
          </w:p>
          <w:p w14:paraId="67FEC938" w14:textId="77777777" w:rsidR="00FF32C4" w:rsidRDefault="00FF32C4">
            <w:pPr>
              <w:suppressAutoHyphens/>
              <w:spacing w:after="0" w:line="240" w:lineRule="auto"/>
              <w:ind w:left="113" w:right="113"/>
              <w:rPr>
                <w:rFonts w:ascii="Arial Narrow" w:eastAsia="Arial Narrow" w:hAnsi="Arial Narrow" w:cs="Arial Narrow"/>
                <w:b/>
                <w:sz w:val="20"/>
                <w:u w:val="single"/>
              </w:rPr>
            </w:pPr>
          </w:p>
          <w:p w14:paraId="347A5325" w14:textId="77777777" w:rsidR="00FF32C4" w:rsidRDefault="00437C29">
            <w:pPr>
              <w:suppressAutoHyphens/>
              <w:spacing w:after="0" w:line="240" w:lineRule="auto"/>
              <w:ind w:left="113" w:right="113"/>
              <w:rPr>
                <w:rFonts w:ascii="Arial Narrow" w:eastAsia="Arial Narrow" w:hAnsi="Arial Narrow" w:cs="Arial Narrow"/>
                <w:b/>
                <w:sz w:val="20"/>
                <w:u w:val="single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u w:val="single"/>
              </w:rPr>
              <w:t>Projects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u w:val="single"/>
              </w:rPr>
              <w:t>and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u w:val="single"/>
              </w:rPr>
              <w:t>seminars</w:t>
            </w:r>
            <w:proofErr w:type="spellEnd"/>
          </w:p>
          <w:p w14:paraId="53D47833" w14:textId="77777777" w:rsidR="00FF32C4" w:rsidRDefault="00437C29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Study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visit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Germany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October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2014 I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have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been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involved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workshops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ChartaXXI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Movement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Reconciliation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work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This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how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celebrate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Christmas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presented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European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Parliament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Brussels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2014,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Book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Spine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Poetry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Contest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2014 , Super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Minds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Teacher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Superhero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2014 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Hippo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English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Project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Literacy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every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year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European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every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year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Trevor`s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Monster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Making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Challen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2015. I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gave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 talk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entitled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Developing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Autonomy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Strategies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Foreign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Primary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School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22nd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Annual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Convention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TESOL Macedonia-Thrace4,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Northern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Greece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,,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Back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Basics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,, 28th - 29th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March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2015,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American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College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Thessaloniki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Greece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Project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Festivals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Myths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Legends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2014,2015, 2016, I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have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participated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increative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workshop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Bratislava, 2015, Super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safari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organized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Cambridge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University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Press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2015 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Our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ELT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story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2016 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changes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lives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Oxford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University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Press,2001 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Cambridge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Belgrade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2016,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“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piece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peace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”, 2016,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Headway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Scholarship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2016,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Shakespeare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Around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World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2016, I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took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part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giving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paper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,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Developing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Autonomy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Strategies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Teaching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Foreign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Primary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School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6th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annual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English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specialistsELT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Forum 2016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entitled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through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Assessment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in Bratislava on 10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11 June 2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016. Project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with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students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2017,organized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Oxford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ELTA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Stop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bullying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violence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school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Training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course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2017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Germany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e-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Twining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BETA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Varna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Bulgaria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23-25 June, 2017., ECDL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Regional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Belgrade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Accredited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Tester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Serbia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10.11.2017.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letter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from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library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2019,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Serbia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ELTA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Competition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Friendship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2019 13 June 2019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Vienna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Austria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EPALE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Erasmus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Adult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thematic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conference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2019,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Citizenship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Austrai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Europe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Objectives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methods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future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prospects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Headway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Schoolarship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2019.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couple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years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ago, I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participant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on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training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young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people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which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 had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opportunity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about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experience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changed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life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broaden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horizons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me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aware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new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dimension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From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given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meaning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Distance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said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democracy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should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be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available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citizens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also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pointed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out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purpose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to provide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citizens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with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wide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opportunities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develop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their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personality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maximum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extent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therefore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necessary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that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alternative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system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like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Non-formal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should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fill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gap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>. “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Non-formal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activity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organized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outside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system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simple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flexible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be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delivered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place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convenient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learners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generally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designed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meet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basic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needs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disadvantage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groups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be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availed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age’’.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Defining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non-formal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it's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not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easy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usually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described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different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ways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opinion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is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learning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movement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which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contains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 lot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values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importance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everyone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carried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out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from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formal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education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system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helps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us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acquire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maintain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skills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abilities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new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fun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provides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you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completely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new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experience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which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you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will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never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forget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Go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Green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France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lastRenderedPageBreak/>
              <w:t>Conference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Vienna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Au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stria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10-11 June,2022 UAS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Language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Instructions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Conference.PBA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Let s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meet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up.International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project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France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>, October,2022</w:t>
            </w:r>
            <w:r>
              <w:rPr>
                <w:rFonts w:ascii="Arial" w:eastAsia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PDA "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Re-Establish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Diversity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Inclusion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Environmental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Location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taking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place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Pissouri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Limassol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Cyprus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from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14</w:t>
            </w:r>
            <w:r>
              <w:rPr>
                <w:rFonts w:ascii="Arial" w:eastAsia="Arial" w:hAnsi="Arial" w:cs="Arial"/>
                <w:b/>
                <w:sz w:val="18"/>
                <w:u w:val="single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 to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21</w:t>
            </w:r>
            <w:r>
              <w:rPr>
                <w:rFonts w:ascii="Arial" w:eastAsia="Arial" w:hAnsi="Arial" w:cs="Arial"/>
                <w:b/>
                <w:sz w:val="18"/>
                <w:u w:val="single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sz w:val="18"/>
                <w:u w:val="singl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November,2022. 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Houses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around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world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>, e-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Twinning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platform.Intercultural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dialogue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and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democratic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spaces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February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France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2023,DAFSI TC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Spain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March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2023, On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the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same line TC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Calarreona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Spain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/>
              </w:rPr>
              <w:t>October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/>
              </w:rPr>
              <w:t xml:space="preserve"> 2023.</w:t>
            </w:r>
            <w:r>
              <w:rPr>
                <w:rFonts w:ascii="Arial" w:eastAsia="Arial" w:hAnsi="Arial" w:cs="Arial"/>
                <w:color w:val="050505"/>
                <w:sz w:val="18"/>
                <w:shd w:val="clear" w:color="auto" w:fill="FFFFFF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PBA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Belgium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15-19th January.20</w:t>
            </w:r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24.Step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Forward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Contact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Seminar,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Sirvintos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Lithuania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, February.2024.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Erasmus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+ TC Future Exchange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Group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Leaders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Spain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, April 2024.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BTS: BEYOND THE SCREEN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navigating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digital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tools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beginners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, 26.09.2024 - 03.10.2024,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Puntas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Calnegre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Spain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Democracy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matters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Youth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work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addressing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authoritarian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discourse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in Europe,21.03.2025-28.03.2025,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Coma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Ruga,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Barcelona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Spain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. TC Art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for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 Erth,22.04.-28.04.2025,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Marseille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France</w:t>
            </w:r>
            <w:proofErr w:type="spellEnd"/>
            <w:r>
              <w:rPr>
                <w:rFonts w:ascii="Arial" w:eastAsia="Arial" w:hAnsi="Arial" w:cs="Arial"/>
                <w:b/>
                <w:color w:val="050505"/>
                <w:sz w:val="18"/>
                <w:u w:val="single"/>
                <w:shd w:val="clear" w:color="auto" w:fill="FFFFFF"/>
              </w:rPr>
              <w:t>.</w:t>
            </w:r>
          </w:p>
          <w:p w14:paraId="19141A7D" w14:textId="77777777" w:rsidR="00FF32C4" w:rsidRDefault="00FF32C4">
            <w:pPr>
              <w:suppressAutoHyphens/>
              <w:spacing w:after="0" w:line="240" w:lineRule="auto"/>
              <w:ind w:left="113" w:right="113"/>
              <w:rPr>
                <w:rFonts w:ascii="Arial Narrow" w:eastAsia="Arial Narrow" w:hAnsi="Arial Narrow" w:cs="Arial Narrow"/>
                <w:b/>
                <w:sz w:val="20"/>
                <w:u w:val="single"/>
              </w:rPr>
            </w:pPr>
          </w:p>
          <w:p w14:paraId="3348FEB5" w14:textId="77777777" w:rsidR="00FF32C4" w:rsidRDefault="00FF32C4">
            <w:pPr>
              <w:spacing w:after="0" w:line="240" w:lineRule="auto"/>
            </w:pPr>
          </w:p>
        </w:tc>
      </w:tr>
      <w:tr w:rsidR="00FF32C4" w14:paraId="02408F1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  <w:vAlign w:val="center"/>
          </w:tcPr>
          <w:p w14:paraId="11EA5697" w14:textId="77777777" w:rsidR="00FF32C4" w:rsidRDefault="00437C2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What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expertise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involved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this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608A8BC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3E11E1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Legal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Representative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Ljiljana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Kostandinovic</w:t>
            </w:r>
            <w:proofErr w:type="spellEnd"/>
          </w:p>
          <w:p w14:paraId="6940DFEB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Fields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Expertise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78DB2BE2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  <w:proofErr w:type="spellEnd"/>
          </w:p>
          <w:p w14:paraId="0B2F846D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8F7FEDF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F99079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Contact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Person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Ljiljana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Kostandinović</w:t>
            </w:r>
            <w:proofErr w:type="spellEnd"/>
          </w:p>
          <w:p w14:paraId="2D28352B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Duties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Responsibilities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 </w:t>
            </w:r>
          </w:p>
          <w:p w14:paraId="7A8C89D6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planning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overall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coordination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implementation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supervision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projects</w:t>
            </w:r>
            <w:proofErr w:type="spellEnd"/>
          </w:p>
          <w:p w14:paraId="7C90C110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fundraising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liaising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donors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partners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project-related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issues</w:t>
            </w:r>
            <w:proofErr w:type="spellEnd"/>
          </w:p>
          <w:p w14:paraId="584B796C" w14:textId="77777777" w:rsidR="00FF32C4" w:rsidRDefault="0043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developing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project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concepts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including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objectives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activities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stages</w:t>
            </w:r>
            <w:proofErr w:type="spellEnd"/>
          </w:p>
          <w:p w14:paraId="627E12C0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9A24CE2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6C3A9E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1181F0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3B2930D" w14:textId="77777777" w:rsidR="00FF32C4" w:rsidRDefault="00FF32C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24C059C5" w14:textId="77777777" w:rsidR="00FF32C4" w:rsidRDefault="00FF32C4">
            <w:pPr>
              <w:spacing w:after="0" w:line="240" w:lineRule="auto"/>
            </w:pPr>
          </w:p>
        </w:tc>
      </w:tr>
      <w:tr w:rsidR="00FF32C4" w14:paraId="7C70FCF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91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92D050"/>
            <w:tcMar>
              <w:left w:w="80" w:type="dxa"/>
              <w:right w:w="80" w:type="dxa"/>
            </w:tcMar>
          </w:tcPr>
          <w:p w14:paraId="01BE4BDD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E. LEGAL REPRESENTATIVE</w:t>
            </w:r>
          </w:p>
        </w:tc>
      </w:tr>
      <w:tr w:rsidR="00FF32C4" w14:paraId="5F101D9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5A613A8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Title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F4CC436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F32C4" w14:paraId="4FE3799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84BF8C2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Gender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592E837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Female</w:t>
            </w:r>
            <w:proofErr w:type="spellEnd"/>
          </w:p>
        </w:tc>
      </w:tr>
      <w:tr w:rsidR="00FF32C4" w14:paraId="491BF074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BCA079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651D25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Ljiljana</w:t>
            </w:r>
          </w:p>
        </w:tc>
      </w:tr>
      <w:tr w:rsidR="00FF32C4" w14:paraId="3ADE38E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FE46E14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95FCA3D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Kostandinovic</w:t>
            </w:r>
            <w:proofErr w:type="spellEnd"/>
          </w:p>
        </w:tc>
      </w:tr>
      <w:tr w:rsidR="00FF32C4" w14:paraId="1DE991D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A39352D" w14:textId="77777777" w:rsidR="00FF32C4" w:rsidRDefault="00437C29">
            <w:pPr>
              <w:tabs>
                <w:tab w:val="left" w:pos="214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Department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FBA01F2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Board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organization</w:t>
            </w:r>
            <w:proofErr w:type="spellEnd"/>
          </w:p>
        </w:tc>
      </w:tr>
      <w:tr w:rsidR="00FF32C4" w14:paraId="72CD51B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48C6808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Position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97FB19B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Chairman</w:t>
            </w:r>
            <w:proofErr w:type="spellEnd"/>
          </w:p>
        </w:tc>
      </w:tr>
      <w:tr w:rsidR="00FF32C4" w14:paraId="3AFF479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9C49B1E" w14:textId="77777777" w:rsidR="00FF32C4" w:rsidRDefault="00437C29">
            <w:pPr>
              <w:tabs>
                <w:tab w:val="left" w:pos="72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7FAC3C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ljiljanakostandinovic81@gmail.com</w:t>
            </w:r>
          </w:p>
        </w:tc>
      </w:tr>
      <w:tr w:rsidR="00FF32C4" w14:paraId="76DBC52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E699AB5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460F675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+381640621180</w:t>
            </w:r>
          </w:p>
        </w:tc>
      </w:tr>
      <w:tr w:rsidR="00FF32C4" w14:paraId="525E8A0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826B95D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Address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0A2031F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Sat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Biban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Padina 171</w:t>
            </w:r>
          </w:p>
        </w:tc>
      </w:tr>
      <w:tr w:rsidR="00FF32C4" w14:paraId="33BA0977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FE269F1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Country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7C0700E3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Romania</w:t>
            </w:r>
            <w:proofErr w:type="spellEnd"/>
          </w:p>
        </w:tc>
      </w:tr>
      <w:tr w:rsidR="00FF32C4" w14:paraId="4AC061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0309DD98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Region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2C86CF03" w14:textId="77777777" w:rsidR="00FF32C4" w:rsidRDefault="00437C2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Mehedniti</w:t>
            </w:r>
            <w:proofErr w:type="spellEnd"/>
          </w:p>
        </w:tc>
      </w:tr>
      <w:tr w:rsidR="00FF32C4" w14:paraId="59A6B62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1752A20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P.O.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Box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6DDE4FF" w14:textId="77777777" w:rsidR="00FF32C4" w:rsidRDefault="00FF32C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0B4364C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6BA77DEA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Code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396623C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227340</w:t>
            </w:r>
          </w:p>
        </w:tc>
      </w:tr>
      <w:tr w:rsidR="00FF32C4" w14:paraId="5558E8E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337CE222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CEDEX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58FBF7A9" w14:textId="77777777" w:rsidR="00FF32C4" w:rsidRDefault="00FF32C4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4D7B769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EEBF64E" w14:textId="77777777" w:rsidR="00FF32C4" w:rsidRDefault="00437C2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D54E900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Padina</w:t>
            </w:r>
          </w:p>
        </w:tc>
      </w:tr>
      <w:tr w:rsidR="00FF32C4" w14:paraId="0919378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0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14819E02" w14:textId="77777777" w:rsidR="00FF32C4" w:rsidRDefault="00437C29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Telephone</w:t>
            </w:r>
            <w:proofErr w:type="spellEnd"/>
          </w:p>
        </w:tc>
        <w:tc>
          <w:tcPr>
            <w:tcW w:w="7162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80" w:type="dxa"/>
              <w:right w:w="80" w:type="dxa"/>
            </w:tcMar>
          </w:tcPr>
          <w:p w14:paraId="4B975EB6" w14:textId="77777777" w:rsidR="00FF32C4" w:rsidRDefault="00437C2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+ 40767105173</w:t>
            </w:r>
          </w:p>
        </w:tc>
      </w:tr>
    </w:tbl>
    <w:p w14:paraId="2772D2A3" w14:textId="77777777" w:rsidR="00FF32C4" w:rsidRDefault="00FF32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01"/>
        <w:gridCol w:w="3306"/>
        <w:gridCol w:w="3145"/>
      </w:tblGrid>
      <w:tr w:rsidR="00FF32C4" w14:paraId="6AB98A4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78656" w14:textId="77777777" w:rsidR="00FF32C4" w:rsidRDefault="00437C2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European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Union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granted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\EU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programmes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2015-2019</w:t>
            </w:r>
          </w:p>
        </w:tc>
      </w:tr>
      <w:tr w:rsidR="00FF32C4" w14:paraId="7C47E7A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9A093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EU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programme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213C1" w14:textId="77777777" w:rsidR="00FF32C4" w:rsidRDefault="00437C29">
            <w:pPr>
              <w:suppressAutoHyphens/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Year</w:t>
            </w:r>
            <w:proofErr w:type="spellEnd"/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C7967" w14:textId="77777777" w:rsidR="00FF32C4" w:rsidRDefault="00437C29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Project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Contract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9A374B" w14:textId="77777777" w:rsidR="00FF32C4" w:rsidRDefault="00437C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Applicant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Beneficiary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Name</w:t>
            </w:r>
            <w:proofErr w:type="spellEnd"/>
          </w:p>
        </w:tc>
      </w:tr>
      <w:tr w:rsidR="00FF32C4" w14:paraId="167F583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FB0DC" w14:textId="77777777" w:rsidR="00FF32C4" w:rsidRDefault="00FF32C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0E008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F7357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8A1AD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55FC3B0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8252D" w14:textId="77777777" w:rsidR="00FF32C4" w:rsidRDefault="00FF32C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F81A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8E598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CE4A5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4FB4E22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22289" w14:textId="77777777" w:rsidR="00FF32C4" w:rsidRDefault="00FF32C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3C02D" w14:textId="77777777" w:rsidR="00FF32C4" w:rsidRDefault="00FF32C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07974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041B1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FF32C4" w14:paraId="747AA91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54E4E" w14:textId="77777777" w:rsidR="00FF32C4" w:rsidRDefault="00FF32C4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9F981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5844E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19840" w14:textId="77777777" w:rsidR="00FF32C4" w:rsidRDefault="00FF32C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0B5A908" w14:textId="77777777" w:rsidR="00FF32C4" w:rsidRDefault="00FF32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FF3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C4"/>
    <w:rsid w:val="00437C29"/>
    <w:rsid w:val="00A40777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C373"/>
  <w15:docId w15:val="{A8BB067F-2E0B-4A2C-A485-838E71F3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896178743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tionsociety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lto-youth.net/tools/otlas-partner-finding/organisation/action-society.24543/" TargetMode="External"/><Relationship Id="rId5" Type="http://schemas.openxmlformats.org/officeDocument/2006/relationships/hyperlink" Target="https://www.facebook.com/profile.php?id=10008961787435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traducator.autorizat.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3668</Words>
  <Characters>20909</Characters>
  <Application>Microsoft Office Word</Application>
  <DocSecurity>0</DocSecurity>
  <Lines>174</Lines>
  <Paragraphs>49</Paragraphs>
  <ScaleCrop>false</ScaleCrop>
  <Company/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Biblioteka</cp:lastModifiedBy>
  <cp:revision>2</cp:revision>
  <dcterms:created xsi:type="dcterms:W3CDTF">2025-11-12T11:06:00Z</dcterms:created>
  <dcterms:modified xsi:type="dcterms:W3CDTF">2025-11-12T11:11:00Z</dcterms:modified>
</cp:coreProperties>
</file>